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608B" w:rsidRDefault="00FA51B8">
      <w:pPr>
        <w:spacing w:line="600" w:lineRule="exact"/>
        <w:jc w:val="center"/>
        <w:outlineLvl w:val="0"/>
        <w:rPr>
          <w:rFonts w:ascii="方正小标宋简体" w:eastAsia="方正小标宋简体" w:hAnsi="方正小标宋简体" w:cs="方正小标宋简体"/>
          <w:sz w:val="44"/>
          <w:szCs w:val="44"/>
        </w:rPr>
      </w:pPr>
      <w:bookmarkStart w:id="0" w:name="_Toc102995502"/>
      <w:r>
        <w:rPr>
          <w:rFonts w:ascii="方正小标宋简体" w:eastAsia="方正小标宋简体" w:hAnsi="方正小标宋简体" w:cs="方正小标宋简体" w:hint="eastAsia"/>
          <w:sz w:val="44"/>
          <w:szCs w:val="44"/>
        </w:rPr>
        <w:t>北京市地震局2024年部门整体</w:t>
      </w:r>
    </w:p>
    <w:p w:rsidR="0038608B" w:rsidRDefault="00FA51B8">
      <w:pPr>
        <w:spacing w:line="600" w:lineRule="exact"/>
        <w:jc w:val="center"/>
        <w:outlineLvl w:val="0"/>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绩效评价报告</w:t>
      </w:r>
    </w:p>
    <w:p w:rsidR="0038608B" w:rsidRDefault="0038608B">
      <w:pPr>
        <w:adjustRightInd w:val="0"/>
        <w:spacing w:line="560" w:lineRule="exact"/>
        <w:jc w:val="center"/>
        <w:rPr>
          <w:rFonts w:ascii="黑体" w:eastAsia="黑体" w:hAnsi="黑体"/>
          <w:b/>
          <w:sz w:val="72"/>
          <w:szCs w:val="72"/>
          <w:lang w:val="zh-CN"/>
        </w:rPr>
      </w:pPr>
    </w:p>
    <w:p w:rsidR="0038608B" w:rsidRDefault="00FA51B8">
      <w:pPr>
        <w:snapToGrid w:val="0"/>
        <w:spacing w:line="580" w:lineRule="exact"/>
        <w:ind w:firstLineChars="200" w:firstLine="640"/>
        <w:outlineLvl w:val="1"/>
        <w:rPr>
          <w:rFonts w:ascii="黑体" w:eastAsia="黑体" w:hAnsi="黑体"/>
          <w:sz w:val="32"/>
          <w:szCs w:val="32"/>
        </w:rPr>
      </w:pPr>
      <w:bookmarkStart w:id="1" w:name="_Toc106001806"/>
      <w:r>
        <w:rPr>
          <w:rFonts w:ascii="黑体" w:eastAsia="黑体" w:hAnsi="黑体" w:hint="eastAsia"/>
          <w:sz w:val="32"/>
          <w:szCs w:val="32"/>
        </w:rPr>
        <w:t>一、部门概况</w:t>
      </w:r>
      <w:bookmarkEnd w:id="0"/>
      <w:bookmarkEnd w:id="1"/>
    </w:p>
    <w:p w:rsidR="0038608B" w:rsidRDefault="00FA51B8">
      <w:pPr>
        <w:snapToGrid w:val="0"/>
        <w:spacing w:line="580" w:lineRule="exact"/>
        <w:ind w:firstLineChars="200" w:firstLine="643"/>
        <w:outlineLvl w:val="1"/>
        <w:rPr>
          <w:rFonts w:ascii="楷体_GB2312" w:eastAsia="楷体_GB2312" w:hAnsi="楷体_GB2312" w:cs="楷体_GB2312"/>
          <w:b/>
          <w:sz w:val="32"/>
          <w:szCs w:val="32"/>
        </w:rPr>
      </w:pPr>
      <w:bookmarkStart w:id="2" w:name="_Toc106001807"/>
      <w:bookmarkStart w:id="3" w:name="_Toc102995503"/>
      <w:r>
        <w:rPr>
          <w:rFonts w:ascii="楷体_GB2312" w:eastAsia="楷体_GB2312" w:hAnsi="楷体_GB2312" w:cs="楷体_GB2312" w:hint="eastAsia"/>
          <w:b/>
          <w:sz w:val="32"/>
          <w:szCs w:val="32"/>
        </w:rPr>
        <w:t>（一）机构设置及职责工作任务情况</w:t>
      </w:r>
      <w:bookmarkEnd w:id="2"/>
      <w:bookmarkEnd w:id="3"/>
    </w:p>
    <w:p w:rsidR="0038608B" w:rsidRDefault="00FA51B8">
      <w:pPr>
        <w:snapToGrid w:val="0"/>
        <w:spacing w:line="580" w:lineRule="exact"/>
        <w:ind w:firstLineChars="200" w:firstLine="643"/>
        <w:outlineLvl w:val="1"/>
        <w:rPr>
          <w:rFonts w:ascii="Times New Roman" w:eastAsia="仿宋_GB2312" w:hAnsi="Times New Roman"/>
          <w:b/>
          <w:sz w:val="32"/>
          <w:szCs w:val="32"/>
        </w:rPr>
      </w:pPr>
      <w:r>
        <w:rPr>
          <w:rFonts w:ascii="Times New Roman" w:eastAsia="仿宋_GB2312" w:hAnsi="Times New Roman" w:hint="eastAsia"/>
          <w:b/>
          <w:sz w:val="32"/>
          <w:szCs w:val="32"/>
        </w:rPr>
        <w:t>1.</w:t>
      </w:r>
      <w:r>
        <w:rPr>
          <w:rFonts w:ascii="Times New Roman" w:eastAsia="仿宋_GB2312" w:hAnsi="Times New Roman" w:hint="eastAsia"/>
          <w:b/>
          <w:sz w:val="32"/>
          <w:szCs w:val="32"/>
        </w:rPr>
        <w:t>机构设置情况</w:t>
      </w:r>
    </w:p>
    <w:p w:rsidR="0038608B" w:rsidRDefault="00FA51B8">
      <w:pPr>
        <w:snapToGrid w:val="0"/>
        <w:spacing w:line="58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北京市地震局实行中国地震局和北京市人民政府双重领导，以中国地震局为主的管理体制，为正厅（局）级，依法履行本行政区域内防震减灾工作管理职能。北京市地震局内设</w:t>
      </w:r>
      <w:r>
        <w:rPr>
          <w:rFonts w:ascii="Times New Roman" w:eastAsia="仿宋_GB2312" w:hAnsi="Times New Roman" w:hint="eastAsia"/>
          <w:sz w:val="32"/>
          <w:szCs w:val="32"/>
        </w:rPr>
        <w:t>7</w:t>
      </w:r>
      <w:r>
        <w:rPr>
          <w:rFonts w:ascii="Times New Roman" w:eastAsia="仿宋_GB2312" w:hAnsi="Times New Roman" w:hint="eastAsia"/>
          <w:sz w:val="32"/>
          <w:szCs w:val="32"/>
        </w:rPr>
        <w:t>个机构，分别为办公室、监测预报与科技处（应急服务处）、震害防御处（公共服务处）、规划财务处、人事教育处（离退休干部办公室）、机关党委、纪检室。</w:t>
      </w:r>
    </w:p>
    <w:p w:rsidR="0038608B" w:rsidRDefault="00FA51B8">
      <w:pPr>
        <w:snapToGrid w:val="0"/>
        <w:spacing w:line="580" w:lineRule="exact"/>
        <w:ind w:firstLineChars="200" w:firstLine="643"/>
        <w:outlineLvl w:val="1"/>
        <w:rPr>
          <w:rFonts w:ascii="Times New Roman" w:eastAsia="仿宋_GB2312" w:hAnsi="Times New Roman"/>
          <w:b/>
          <w:sz w:val="32"/>
          <w:szCs w:val="32"/>
        </w:rPr>
      </w:pPr>
      <w:r>
        <w:rPr>
          <w:rFonts w:ascii="Times New Roman" w:eastAsia="仿宋_GB2312" w:hAnsi="Times New Roman" w:hint="eastAsia"/>
          <w:b/>
          <w:sz w:val="32"/>
          <w:szCs w:val="32"/>
        </w:rPr>
        <w:t>2.</w:t>
      </w:r>
      <w:r>
        <w:rPr>
          <w:rFonts w:ascii="Times New Roman" w:eastAsia="仿宋_GB2312" w:hAnsi="Times New Roman" w:hint="eastAsia"/>
          <w:b/>
          <w:sz w:val="32"/>
          <w:szCs w:val="32"/>
        </w:rPr>
        <w:t>部门职责</w:t>
      </w:r>
    </w:p>
    <w:p w:rsidR="0038608B" w:rsidRDefault="00FA51B8">
      <w:pPr>
        <w:snapToGrid w:val="0"/>
        <w:spacing w:line="580" w:lineRule="exact"/>
        <w:ind w:firstLineChars="200" w:firstLine="640"/>
        <w:outlineLvl w:val="1"/>
        <w:rPr>
          <w:rFonts w:ascii="Times New Roman" w:eastAsia="仿宋_GB2312" w:hAnsi="Times New Roman"/>
          <w:bCs/>
          <w:sz w:val="32"/>
          <w:szCs w:val="32"/>
        </w:rPr>
      </w:pPr>
      <w:r>
        <w:rPr>
          <w:rFonts w:ascii="Times New Roman" w:eastAsia="仿宋_GB2312" w:hAnsi="Times New Roman" w:hint="eastAsia"/>
          <w:bCs/>
          <w:sz w:val="32"/>
          <w:szCs w:val="32"/>
        </w:rPr>
        <w:t>北京市地震局主要职责包括：</w:t>
      </w:r>
    </w:p>
    <w:p w:rsidR="0038608B" w:rsidRDefault="00FA51B8">
      <w:pPr>
        <w:snapToGrid w:val="0"/>
        <w:spacing w:line="580" w:lineRule="exact"/>
        <w:ind w:firstLineChars="200" w:firstLine="640"/>
        <w:outlineLvl w:val="1"/>
        <w:rPr>
          <w:rFonts w:ascii="Times New Roman" w:eastAsia="仿宋_GB2312" w:hAnsi="Times New Roman"/>
          <w:bCs/>
          <w:sz w:val="32"/>
          <w:szCs w:val="32"/>
        </w:rPr>
      </w:pPr>
      <w:r>
        <w:rPr>
          <w:rFonts w:ascii="Times New Roman" w:eastAsia="仿宋_GB2312" w:hAnsi="Times New Roman" w:hint="eastAsia"/>
          <w:bCs/>
          <w:sz w:val="32"/>
          <w:szCs w:val="32"/>
        </w:rPr>
        <w:t>（</w:t>
      </w:r>
      <w:r>
        <w:rPr>
          <w:rFonts w:ascii="Times New Roman" w:eastAsia="仿宋_GB2312" w:hAnsi="Times New Roman" w:hint="eastAsia"/>
          <w:bCs/>
          <w:sz w:val="32"/>
          <w:szCs w:val="32"/>
        </w:rPr>
        <w:t>1</w:t>
      </w:r>
      <w:r>
        <w:rPr>
          <w:rFonts w:ascii="Times New Roman" w:eastAsia="仿宋_GB2312" w:hAnsi="Times New Roman" w:hint="eastAsia"/>
          <w:bCs/>
          <w:sz w:val="32"/>
          <w:szCs w:val="32"/>
        </w:rPr>
        <w:t>）负责起草北京市防震减灾政策、法规、规章和标准，并组织实施。</w:t>
      </w:r>
    </w:p>
    <w:p w:rsidR="0038608B" w:rsidRDefault="00FA51B8">
      <w:pPr>
        <w:snapToGrid w:val="0"/>
        <w:spacing w:line="580" w:lineRule="exact"/>
        <w:ind w:firstLineChars="200" w:firstLine="640"/>
        <w:outlineLvl w:val="1"/>
        <w:rPr>
          <w:rFonts w:ascii="Times New Roman" w:eastAsia="仿宋_GB2312" w:hAnsi="Times New Roman"/>
          <w:bCs/>
          <w:sz w:val="32"/>
          <w:szCs w:val="32"/>
        </w:rPr>
      </w:pPr>
      <w:r>
        <w:rPr>
          <w:rFonts w:ascii="Times New Roman" w:eastAsia="仿宋_GB2312" w:hAnsi="Times New Roman" w:hint="eastAsia"/>
          <w:bCs/>
          <w:sz w:val="32"/>
          <w:szCs w:val="32"/>
        </w:rPr>
        <w:t>（</w:t>
      </w:r>
      <w:r>
        <w:rPr>
          <w:rFonts w:ascii="Times New Roman" w:eastAsia="仿宋_GB2312" w:hAnsi="Times New Roman" w:hint="eastAsia"/>
          <w:bCs/>
          <w:sz w:val="32"/>
          <w:szCs w:val="32"/>
        </w:rPr>
        <w:t>2</w:t>
      </w:r>
      <w:r>
        <w:rPr>
          <w:rFonts w:ascii="Times New Roman" w:eastAsia="仿宋_GB2312" w:hAnsi="Times New Roman" w:hint="eastAsia"/>
          <w:bCs/>
          <w:sz w:val="32"/>
          <w:szCs w:val="32"/>
        </w:rPr>
        <w:t>）组织编制北京市防震减灾规划并组织实施，推进防震减灾双重计划财务管理体制和相应经费渠道的建立和完善；牵头编制京津冀协同发展防震减灾专项规划。</w:t>
      </w:r>
    </w:p>
    <w:p w:rsidR="0038608B" w:rsidRDefault="00FA51B8">
      <w:pPr>
        <w:snapToGrid w:val="0"/>
        <w:spacing w:line="580" w:lineRule="exact"/>
        <w:ind w:firstLineChars="200" w:firstLine="640"/>
        <w:outlineLvl w:val="1"/>
        <w:rPr>
          <w:rFonts w:ascii="Times New Roman" w:eastAsia="仿宋_GB2312" w:hAnsi="Times New Roman"/>
          <w:bCs/>
          <w:sz w:val="32"/>
          <w:szCs w:val="32"/>
        </w:rPr>
      </w:pPr>
      <w:r>
        <w:rPr>
          <w:rFonts w:ascii="Times New Roman" w:eastAsia="仿宋_GB2312" w:hAnsi="Times New Roman" w:hint="eastAsia"/>
          <w:bCs/>
          <w:sz w:val="32"/>
          <w:szCs w:val="32"/>
        </w:rPr>
        <w:t>（</w:t>
      </w:r>
      <w:r>
        <w:rPr>
          <w:rFonts w:ascii="Times New Roman" w:eastAsia="仿宋_GB2312" w:hAnsi="Times New Roman" w:hint="eastAsia"/>
          <w:bCs/>
          <w:sz w:val="32"/>
          <w:szCs w:val="32"/>
        </w:rPr>
        <w:t>3</w:t>
      </w:r>
      <w:r>
        <w:rPr>
          <w:rFonts w:ascii="Times New Roman" w:eastAsia="仿宋_GB2312" w:hAnsi="Times New Roman" w:hint="eastAsia"/>
          <w:bCs/>
          <w:sz w:val="32"/>
          <w:szCs w:val="32"/>
        </w:rPr>
        <w:t>）负责建立地震灾害风险防治体系、地震监测预报预警体系、地震科技创新体系和防震减灾社会治理体系。</w:t>
      </w:r>
    </w:p>
    <w:p w:rsidR="0038608B" w:rsidRDefault="00FA51B8">
      <w:pPr>
        <w:snapToGrid w:val="0"/>
        <w:spacing w:line="580" w:lineRule="exact"/>
        <w:ind w:firstLineChars="200" w:firstLine="640"/>
        <w:outlineLvl w:val="1"/>
        <w:rPr>
          <w:rFonts w:ascii="Times New Roman" w:eastAsia="仿宋_GB2312" w:hAnsi="Times New Roman"/>
          <w:bCs/>
          <w:sz w:val="32"/>
          <w:szCs w:val="32"/>
        </w:rPr>
      </w:pPr>
      <w:r>
        <w:rPr>
          <w:rFonts w:ascii="Times New Roman" w:eastAsia="仿宋_GB2312" w:hAnsi="Times New Roman" w:hint="eastAsia"/>
          <w:bCs/>
          <w:sz w:val="32"/>
          <w:szCs w:val="32"/>
        </w:rPr>
        <w:t>（</w:t>
      </w:r>
      <w:r>
        <w:rPr>
          <w:rFonts w:ascii="Times New Roman" w:eastAsia="仿宋_GB2312" w:hAnsi="Times New Roman" w:hint="eastAsia"/>
          <w:bCs/>
          <w:sz w:val="32"/>
          <w:szCs w:val="32"/>
        </w:rPr>
        <w:t>4</w:t>
      </w:r>
      <w:r>
        <w:rPr>
          <w:rFonts w:ascii="Times New Roman" w:eastAsia="仿宋_GB2312" w:hAnsi="Times New Roman" w:hint="eastAsia"/>
          <w:bCs/>
          <w:sz w:val="32"/>
          <w:szCs w:val="32"/>
        </w:rPr>
        <w:t>）负责建立防震减灾信息系统，建立地震监测预警、灾情报告和风险报告制度，建立地震灾害风险信息共享机制，</w:t>
      </w:r>
      <w:r>
        <w:rPr>
          <w:rFonts w:ascii="Times New Roman" w:eastAsia="仿宋_GB2312" w:hAnsi="Times New Roman" w:hint="eastAsia"/>
          <w:bCs/>
          <w:sz w:val="32"/>
          <w:szCs w:val="32"/>
        </w:rPr>
        <w:lastRenderedPageBreak/>
        <w:t>依法统一发布震情、灾情和地震灾害风险信息。</w:t>
      </w:r>
    </w:p>
    <w:p w:rsidR="0038608B" w:rsidRDefault="00FA51B8">
      <w:pPr>
        <w:snapToGrid w:val="0"/>
        <w:spacing w:line="580" w:lineRule="exact"/>
        <w:ind w:firstLineChars="200" w:firstLine="640"/>
        <w:outlineLvl w:val="1"/>
        <w:rPr>
          <w:rFonts w:ascii="Times New Roman" w:eastAsia="仿宋_GB2312" w:hAnsi="Times New Roman"/>
          <w:bCs/>
          <w:sz w:val="32"/>
          <w:szCs w:val="32"/>
        </w:rPr>
      </w:pPr>
      <w:r>
        <w:rPr>
          <w:rFonts w:ascii="Times New Roman" w:eastAsia="仿宋_GB2312" w:hAnsi="Times New Roman" w:hint="eastAsia"/>
          <w:bCs/>
          <w:sz w:val="32"/>
          <w:szCs w:val="32"/>
        </w:rPr>
        <w:t>（</w:t>
      </w:r>
      <w:r>
        <w:rPr>
          <w:rFonts w:ascii="Times New Roman" w:eastAsia="仿宋_GB2312" w:hAnsi="Times New Roman" w:hint="eastAsia"/>
          <w:bCs/>
          <w:sz w:val="32"/>
          <w:szCs w:val="32"/>
        </w:rPr>
        <w:t>5</w:t>
      </w:r>
      <w:r>
        <w:rPr>
          <w:rFonts w:ascii="Times New Roman" w:eastAsia="仿宋_GB2312" w:hAnsi="Times New Roman" w:hint="eastAsia"/>
          <w:bCs/>
          <w:sz w:val="32"/>
          <w:szCs w:val="32"/>
        </w:rPr>
        <w:t>）负责编制北京市地震监测站网规划并组织实施，会同有关部门开展地震灾害风险调查、评估、防治，会同有关部门组织地震灾害调查与损失评估，参与制定地震灾后恢复重建规划。</w:t>
      </w:r>
    </w:p>
    <w:p w:rsidR="0038608B" w:rsidRDefault="00FA51B8">
      <w:pPr>
        <w:snapToGrid w:val="0"/>
        <w:spacing w:line="580" w:lineRule="exact"/>
        <w:ind w:firstLineChars="200" w:firstLine="640"/>
        <w:outlineLvl w:val="1"/>
        <w:rPr>
          <w:rFonts w:ascii="Times New Roman" w:eastAsia="仿宋_GB2312" w:hAnsi="Times New Roman"/>
          <w:bCs/>
          <w:sz w:val="32"/>
          <w:szCs w:val="32"/>
        </w:rPr>
      </w:pPr>
      <w:r>
        <w:rPr>
          <w:rFonts w:ascii="Times New Roman" w:eastAsia="仿宋_GB2312" w:hAnsi="Times New Roman" w:hint="eastAsia"/>
          <w:bCs/>
          <w:sz w:val="32"/>
          <w:szCs w:val="32"/>
        </w:rPr>
        <w:t>（</w:t>
      </w:r>
      <w:r>
        <w:rPr>
          <w:rFonts w:ascii="Times New Roman" w:eastAsia="仿宋_GB2312" w:hAnsi="Times New Roman" w:hint="eastAsia"/>
          <w:bCs/>
          <w:sz w:val="32"/>
          <w:szCs w:val="32"/>
        </w:rPr>
        <w:t>6</w:t>
      </w:r>
      <w:r>
        <w:rPr>
          <w:rFonts w:ascii="Times New Roman" w:eastAsia="仿宋_GB2312" w:hAnsi="Times New Roman" w:hint="eastAsia"/>
          <w:bCs/>
          <w:sz w:val="32"/>
          <w:szCs w:val="32"/>
        </w:rPr>
        <w:t>）依法履行本行政区域内防震减灾监督管理职责，指导区、县防震减灾工作，依法开展防震减灾相关行政执法工作，承担地震行政复议、行政诉讼工作。</w:t>
      </w:r>
    </w:p>
    <w:p w:rsidR="0038608B" w:rsidRDefault="00FA51B8">
      <w:pPr>
        <w:snapToGrid w:val="0"/>
        <w:spacing w:line="580" w:lineRule="exact"/>
        <w:ind w:firstLineChars="200" w:firstLine="640"/>
        <w:outlineLvl w:val="1"/>
        <w:rPr>
          <w:rFonts w:ascii="Times New Roman" w:eastAsia="仿宋_GB2312" w:hAnsi="Times New Roman"/>
          <w:bCs/>
          <w:sz w:val="32"/>
          <w:szCs w:val="32"/>
        </w:rPr>
      </w:pPr>
      <w:r>
        <w:rPr>
          <w:rFonts w:ascii="Times New Roman" w:eastAsia="仿宋_GB2312" w:hAnsi="Times New Roman" w:hint="eastAsia"/>
          <w:bCs/>
          <w:sz w:val="32"/>
          <w:szCs w:val="32"/>
        </w:rPr>
        <w:t>（</w:t>
      </w:r>
      <w:r>
        <w:rPr>
          <w:rFonts w:ascii="Times New Roman" w:eastAsia="仿宋_GB2312" w:hAnsi="Times New Roman" w:hint="eastAsia"/>
          <w:bCs/>
          <w:sz w:val="32"/>
          <w:szCs w:val="32"/>
        </w:rPr>
        <w:t>7</w:t>
      </w:r>
      <w:r>
        <w:rPr>
          <w:rFonts w:ascii="Times New Roman" w:eastAsia="仿宋_GB2312" w:hAnsi="Times New Roman" w:hint="eastAsia"/>
          <w:bCs/>
          <w:sz w:val="32"/>
          <w:szCs w:val="32"/>
        </w:rPr>
        <w:t>）负责本行政区域内地震行业质量与技术监督管理工作，负责地震标准宣传、贯彻、实施和监督，管理地震计量工作。</w:t>
      </w:r>
    </w:p>
    <w:p w:rsidR="0038608B" w:rsidRDefault="00FA51B8">
      <w:pPr>
        <w:snapToGrid w:val="0"/>
        <w:spacing w:line="580" w:lineRule="exact"/>
        <w:ind w:firstLineChars="200" w:firstLine="640"/>
        <w:outlineLvl w:val="1"/>
        <w:rPr>
          <w:rFonts w:ascii="Times New Roman" w:eastAsia="仿宋_GB2312" w:hAnsi="Times New Roman"/>
          <w:bCs/>
          <w:sz w:val="32"/>
          <w:szCs w:val="32"/>
        </w:rPr>
      </w:pPr>
      <w:r>
        <w:rPr>
          <w:rFonts w:ascii="Times New Roman" w:eastAsia="仿宋_GB2312" w:hAnsi="Times New Roman" w:hint="eastAsia"/>
          <w:bCs/>
          <w:sz w:val="32"/>
          <w:szCs w:val="32"/>
        </w:rPr>
        <w:t>（</w:t>
      </w:r>
      <w:r>
        <w:rPr>
          <w:rFonts w:ascii="Times New Roman" w:eastAsia="仿宋_GB2312" w:hAnsi="Times New Roman" w:hint="eastAsia"/>
          <w:bCs/>
          <w:sz w:val="32"/>
          <w:szCs w:val="32"/>
        </w:rPr>
        <w:t>8</w:t>
      </w:r>
      <w:r>
        <w:rPr>
          <w:rFonts w:ascii="Times New Roman" w:eastAsia="仿宋_GB2312" w:hAnsi="Times New Roman" w:hint="eastAsia"/>
          <w:bCs/>
          <w:sz w:val="32"/>
          <w:szCs w:val="32"/>
        </w:rPr>
        <w:t>）组织防震减灾公共服务，负责防震减灾科学技术研究和成果推广应用，负责防震减灾科普宣传和培训工作。</w:t>
      </w:r>
    </w:p>
    <w:p w:rsidR="0038608B" w:rsidRDefault="00FA51B8">
      <w:pPr>
        <w:snapToGrid w:val="0"/>
        <w:spacing w:line="580" w:lineRule="exact"/>
        <w:ind w:firstLineChars="200" w:firstLine="640"/>
        <w:outlineLvl w:val="1"/>
        <w:rPr>
          <w:rFonts w:ascii="Times New Roman" w:eastAsia="仿宋_GB2312" w:hAnsi="Times New Roman"/>
          <w:bCs/>
          <w:sz w:val="32"/>
          <w:szCs w:val="32"/>
        </w:rPr>
      </w:pPr>
      <w:r>
        <w:rPr>
          <w:rFonts w:ascii="Times New Roman" w:eastAsia="仿宋_GB2312" w:hAnsi="Times New Roman" w:hint="eastAsia"/>
          <w:bCs/>
          <w:sz w:val="32"/>
          <w:szCs w:val="32"/>
        </w:rPr>
        <w:t>（</w:t>
      </w:r>
      <w:r>
        <w:rPr>
          <w:rFonts w:ascii="Times New Roman" w:eastAsia="仿宋_GB2312" w:hAnsi="Times New Roman" w:hint="eastAsia"/>
          <w:bCs/>
          <w:sz w:val="32"/>
          <w:szCs w:val="32"/>
        </w:rPr>
        <w:t>9</w:t>
      </w:r>
      <w:r>
        <w:rPr>
          <w:rFonts w:ascii="Times New Roman" w:eastAsia="仿宋_GB2312" w:hAnsi="Times New Roman" w:hint="eastAsia"/>
          <w:bCs/>
          <w:sz w:val="32"/>
          <w:szCs w:val="32"/>
        </w:rPr>
        <w:t>）承担中国地震局和市委市政府交办的其他任务。</w:t>
      </w:r>
    </w:p>
    <w:p w:rsidR="0038608B" w:rsidRDefault="00FA51B8">
      <w:pPr>
        <w:snapToGrid w:val="0"/>
        <w:spacing w:line="580" w:lineRule="exact"/>
        <w:ind w:firstLineChars="200" w:firstLine="643"/>
        <w:outlineLvl w:val="1"/>
        <w:rPr>
          <w:rFonts w:ascii="Times New Roman" w:eastAsia="仿宋_GB2312" w:hAnsi="Times New Roman"/>
          <w:b/>
          <w:sz w:val="32"/>
          <w:szCs w:val="32"/>
        </w:rPr>
      </w:pPr>
      <w:r>
        <w:rPr>
          <w:rFonts w:ascii="Times New Roman" w:eastAsia="仿宋_GB2312" w:hAnsi="Times New Roman" w:hint="eastAsia"/>
          <w:b/>
          <w:sz w:val="32"/>
          <w:szCs w:val="32"/>
        </w:rPr>
        <w:t>3.2024</w:t>
      </w:r>
      <w:r>
        <w:rPr>
          <w:rFonts w:ascii="Times New Roman" w:eastAsia="仿宋_GB2312" w:hAnsi="Times New Roman" w:hint="eastAsia"/>
          <w:b/>
          <w:sz w:val="32"/>
          <w:szCs w:val="32"/>
        </w:rPr>
        <w:t>年重点工作任务</w:t>
      </w:r>
    </w:p>
    <w:p w:rsidR="0038608B" w:rsidRDefault="00FA51B8">
      <w:pPr>
        <w:snapToGrid w:val="0"/>
        <w:spacing w:line="580" w:lineRule="exact"/>
        <w:ind w:firstLineChars="200" w:firstLine="640"/>
        <w:outlineLvl w:val="1"/>
        <w:rPr>
          <w:rFonts w:ascii="Times New Roman" w:eastAsia="仿宋_GB2312" w:hAnsi="Times New Roman"/>
          <w:bCs/>
          <w:sz w:val="32"/>
          <w:szCs w:val="32"/>
        </w:rPr>
      </w:pPr>
      <w:r>
        <w:rPr>
          <w:rFonts w:ascii="Times New Roman" w:eastAsia="仿宋_GB2312" w:hAnsi="Times New Roman" w:hint="eastAsia"/>
          <w:bCs/>
          <w:sz w:val="32"/>
          <w:szCs w:val="32"/>
        </w:rPr>
        <w:t>坚持以习近平新时代中国特色社会主义思想为指导，深入学习贯彻习近平总书记关于防灾减灾救灾重要论述和对北京一系列重要讲话精神，以开展党纪学习教育为契机，扎实推进首都防震减灾事业高质量发展。</w:t>
      </w:r>
    </w:p>
    <w:p w:rsidR="0038608B" w:rsidRDefault="00FA51B8">
      <w:pPr>
        <w:snapToGrid w:val="0"/>
        <w:spacing w:line="580" w:lineRule="exact"/>
        <w:ind w:firstLineChars="200" w:firstLine="640"/>
        <w:outlineLvl w:val="1"/>
        <w:rPr>
          <w:rFonts w:ascii="Times New Roman" w:eastAsia="仿宋_GB2312" w:hAnsi="Times New Roman"/>
          <w:bCs/>
          <w:sz w:val="32"/>
          <w:szCs w:val="32"/>
        </w:rPr>
      </w:pPr>
      <w:r>
        <w:rPr>
          <w:rFonts w:ascii="Times New Roman" w:eastAsia="仿宋_GB2312" w:hAnsi="Times New Roman" w:hint="eastAsia"/>
          <w:bCs/>
          <w:sz w:val="32"/>
          <w:szCs w:val="32"/>
        </w:rPr>
        <w:t>2024</w:t>
      </w:r>
      <w:r>
        <w:rPr>
          <w:rFonts w:ascii="Times New Roman" w:eastAsia="仿宋_GB2312" w:hAnsi="Times New Roman" w:hint="eastAsia"/>
          <w:bCs/>
          <w:sz w:val="32"/>
          <w:szCs w:val="32"/>
        </w:rPr>
        <w:t>年重点工作任务：</w:t>
      </w:r>
      <w:r>
        <w:rPr>
          <w:rFonts w:ascii="Times New Roman" w:eastAsia="仿宋_GB2312" w:hAnsi="Times New Roman" w:hint="eastAsia"/>
          <w:b/>
          <w:sz w:val="32"/>
          <w:szCs w:val="32"/>
        </w:rPr>
        <w:t>一是</w:t>
      </w:r>
      <w:r>
        <w:rPr>
          <w:rFonts w:ascii="Times New Roman" w:eastAsia="仿宋_GB2312" w:hAnsi="Times New Roman" w:hint="eastAsia"/>
          <w:bCs/>
          <w:sz w:val="32"/>
          <w:szCs w:val="32"/>
        </w:rPr>
        <w:t>扎实开展党纪学习教育，坚定事业发展方向。坚持把党的政治建设摆在首位，坚持“第一议题”制度，扎实开展党纪学习教育，落实“五学”联动机制，直面回答习近平总书记地震灾害风险之问。</w:t>
      </w:r>
      <w:r>
        <w:rPr>
          <w:rFonts w:ascii="Times New Roman" w:eastAsia="仿宋_GB2312" w:hAnsi="Times New Roman" w:hint="eastAsia"/>
          <w:b/>
          <w:sz w:val="32"/>
          <w:szCs w:val="32"/>
        </w:rPr>
        <w:t>二是</w:t>
      </w:r>
      <w:r>
        <w:rPr>
          <w:rFonts w:ascii="Times New Roman" w:eastAsia="仿宋_GB2312" w:hAnsi="Times New Roman" w:hint="eastAsia"/>
          <w:bCs/>
          <w:sz w:val="32"/>
          <w:szCs w:val="32"/>
        </w:rPr>
        <w:t>加强</w:t>
      </w:r>
      <w:r>
        <w:rPr>
          <w:rFonts w:ascii="Times New Roman" w:eastAsia="仿宋_GB2312" w:hAnsi="Times New Roman" w:hint="eastAsia"/>
          <w:bCs/>
          <w:sz w:val="32"/>
          <w:szCs w:val="32"/>
        </w:rPr>
        <w:lastRenderedPageBreak/>
        <w:t>汇报沟通，营造事业发展良好环境。推动召开防震抗震工作领导小组会议，制定年度重点任务清单和工作要点。</w:t>
      </w:r>
      <w:r>
        <w:rPr>
          <w:rFonts w:ascii="Times New Roman" w:eastAsia="仿宋_GB2312" w:hAnsi="Times New Roman" w:hint="eastAsia"/>
          <w:b/>
          <w:sz w:val="32"/>
          <w:szCs w:val="32"/>
        </w:rPr>
        <w:t>三是</w:t>
      </w:r>
      <w:r>
        <w:rPr>
          <w:rFonts w:ascii="Times New Roman" w:eastAsia="仿宋_GB2312" w:hAnsi="Times New Roman" w:hint="eastAsia"/>
          <w:bCs/>
          <w:sz w:val="32"/>
          <w:szCs w:val="32"/>
        </w:rPr>
        <w:t>推进重点项目实施，强化事业发展保障。制定重大项目实施调度工作方案，强化党组对重点项目的统筹领导；建立</w:t>
      </w:r>
      <w:proofErr w:type="gramStart"/>
      <w:r>
        <w:rPr>
          <w:rFonts w:ascii="Times New Roman" w:eastAsia="仿宋_GB2312" w:hAnsi="Times New Roman" w:hint="eastAsia"/>
          <w:bCs/>
          <w:sz w:val="32"/>
          <w:szCs w:val="32"/>
        </w:rPr>
        <w:t>健全</w:t>
      </w:r>
      <w:r w:rsidR="00693CA0">
        <w:rPr>
          <w:rFonts w:ascii="Times New Roman" w:eastAsia="仿宋_GB2312" w:hAnsi="Times New Roman" w:hint="eastAsia"/>
          <w:bCs/>
          <w:sz w:val="32"/>
          <w:szCs w:val="32"/>
        </w:rPr>
        <w:t>重点</w:t>
      </w:r>
      <w:proofErr w:type="gramEnd"/>
      <w:r>
        <w:rPr>
          <w:rFonts w:ascii="Times New Roman" w:eastAsia="仿宋_GB2312" w:hAnsi="Times New Roman" w:hint="eastAsia"/>
          <w:bCs/>
          <w:sz w:val="32"/>
          <w:szCs w:val="32"/>
        </w:rPr>
        <w:t>项目管理制度体系，完善财务管理、项目管理、审计监督等配套制度；加强项目全过程监管，确保重点项目规范高效实施，提升防震减灾基础能力。</w:t>
      </w:r>
      <w:r>
        <w:rPr>
          <w:rFonts w:ascii="Times New Roman" w:eastAsia="仿宋_GB2312" w:hAnsi="Times New Roman" w:hint="eastAsia"/>
          <w:b/>
          <w:sz w:val="32"/>
          <w:szCs w:val="32"/>
        </w:rPr>
        <w:t>四是</w:t>
      </w:r>
      <w:r>
        <w:rPr>
          <w:rFonts w:ascii="Times New Roman" w:eastAsia="仿宋_GB2312" w:hAnsi="Times New Roman" w:hint="eastAsia"/>
          <w:bCs/>
          <w:sz w:val="32"/>
          <w:szCs w:val="32"/>
        </w:rPr>
        <w:t>履行主责主业，提升服务能力水平。强化区域震情会商机制，全年开</w:t>
      </w:r>
      <w:bookmarkStart w:id="4" w:name="_GoBack"/>
      <w:bookmarkEnd w:id="4"/>
      <w:r>
        <w:rPr>
          <w:rFonts w:ascii="Times New Roman" w:eastAsia="仿宋_GB2312" w:hAnsi="Times New Roman" w:hint="eastAsia"/>
          <w:bCs/>
          <w:sz w:val="32"/>
          <w:szCs w:val="32"/>
        </w:rPr>
        <w:t>展高频次震情分析</w:t>
      </w:r>
      <w:proofErr w:type="gramStart"/>
      <w:r>
        <w:rPr>
          <w:rFonts w:ascii="Times New Roman" w:eastAsia="仿宋_GB2312" w:hAnsi="Times New Roman" w:hint="eastAsia"/>
          <w:bCs/>
          <w:sz w:val="32"/>
          <w:szCs w:val="32"/>
        </w:rPr>
        <w:t>研</w:t>
      </w:r>
      <w:proofErr w:type="gramEnd"/>
      <w:r>
        <w:rPr>
          <w:rFonts w:ascii="Times New Roman" w:eastAsia="仿宋_GB2312" w:hAnsi="Times New Roman" w:hint="eastAsia"/>
          <w:bCs/>
          <w:sz w:val="32"/>
          <w:szCs w:val="32"/>
        </w:rPr>
        <w:t>判，提升北京及周边地区地震趋势预测能力，为政府决策提供科学依据；统筹重要时段地震安全保障，完善震情专报机制，优化应急服务流程</w:t>
      </w:r>
      <w:r w:rsidR="000D2953">
        <w:rPr>
          <w:rFonts w:ascii="Times New Roman" w:eastAsia="仿宋_GB2312" w:hAnsi="Times New Roman" w:hint="eastAsia"/>
          <w:bCs/>
          <w:sz w:val="32"/>
          <w:szCs w:val="32"/>
        </w:rPr>
        <w:t>、</w:t>
      </w:r>
      <w:r>
        <w:rPr>
          <w:rFonts w:ascii="Times New Roman" w:eastAsia="仿宋_GB2312" w:hAnsi="Times New Roman" w:hint="eastAsia"/>
          <w:bCs/>
          <w:sz w:val="32"/>
          <w:szCs w:val="32"/>
        </w:rPr>
        <w:t>信息报送和发布机制，提升快速响应能力，强化部门协同联动处置；完善地震预警信息管理制度，申报</w:t>
      </w:r>
      <w:proofErr w:type="gramStart"/>
      <w:r>
        <w:rPr>
          <w:rFonts w:ascii="Times New Roman" w:eastAsia="仿宋_GB2312" w:hAnsi="Times New Roman" w:hint="eastAsia"/>
          <w:bCs/>
          <w:sz w:val="32"/>
          <w:szCs w:val="32"/>
        </w:rPr>
        <w:t>应急部</w:t>
      </w:r>
      <w:proofErr w:type="gramEnd"/>
      <w:r>
        <w:rPr>
          <w:rFonts w:ascii="Times New Roman" w:eastAsia="仿宋_GB2312" w:hAnsi="Times New Roman" w:hint="eastAsia"/>
          <w:bCs/>
          <w:sz w:val="32"/>
          <w:szCs w:val="32"/>
        </w:rPr>
        <w:t>重点科技项目，促进科研成果应用，提升地震灾害监测与评估能力；创新</w:t>
      </w:r>
      <w:proofErr w:type="gramStart"/>
      <w:r>
        <w:rPr>
          <w:rFonts w:ascii="Times New Roman" w:eastAsia="仿宋_GB2312" w:hAnsi="Times New Roman" w:hint="eastAsia"/>
          <w:bCs/>
          <w:sz w:val="32"/>
          <w:szCs w:val="32"/>
        </w:rPr>
        <w:t>融媒体</w:t>
      </w:r>
      <w:proofErr w:type="gramEnd"/>
      <w:r>
        <w:rPr>
          <w:rFonts w:ascii="Times New Roman" w:eastAsia="仿宋_GB2312" w:hAnsi="Times New Roman" w:hint="eastAsia"/>
          <w:bCs/>
          <w:sz w:val="32"/>
          <w:szCs w:val="32"/>
        </w:rPr>
        <w:t>科普形式，扩大网络直播覆盖面，提升公众防灾意识和应急避险能力。</w:t>
      </w:r>
      <w:r>
        <w:rPr>
          <w:rFonts w:ascii="Times New Roman" w:eastAsia="仿宋_GB2312" w:hAnsi="Times New Roman" w:hint="eastAsia"/>
          <w:b/>
          <w:sz w:val="32"/>
          <w:szCs w:val="32"/>
        </w:rPr>
        <w:t>五是</w:t>
      </w:r>
      <w:r>
        <w:rPr>
          <w:rFonts w:ascii="Times New Roman" w:eastAsia="仿宋_GB2312" w:hAnsi="Times New Roman" w:hint="eastAsia"/>
          <w:bCs/>
          <w:sz w:val="32"/>
          <w:szCs w:val="32"/>
        </w:rPr>
        <w:t>持续深化改革，激发事业发展活力。制定年度改革工作要点，细化改革措施，优化改革领导小组职能；定期召开改革推进会议；加强典型示范引领，开展先进党支部、优秀党务工作者和工匠人才评选，推动创新工作室建设，营造创先争优氛围，激发干部职工干事创业活力。</w:t>
      </w:r>
    </w:p>
    <w:p w:rsidR="0038608B" w:rsidRDefault="00FA51B8">
      <w:pPr>
        <w:snapToGrid w:val="0"/>
        <w:spacing w:line="580" w:lineRule="exact"/>
        <w:ind w:firstLineChars="200" w:firstLine="643"/>
        <w:outlineLvl w:val="1"/>
        <w:rPr>
          <w:rFonts w:ascii="楷体_GB2312" w:eastAsia="楷体_GB2312" w:hAnsi="楷体_GB2312" w:cs="楷体_GB2312"/>
          <w:b/>
          <w:sz w:val="32"/>
          <w:szCs w:val="32"/>
        </w:rPr>
      </w:pPr>
      <w:bookmarkStart w:id="5" w:name="_Toc106001808"/>
      <w:r>
        <w:rPr>
          <w:rFonts w:ascii="楷体_GB2312" w:eastAsia="楷体_GB2312" w:hAnsi="楷体_GB2312" w:cs="楷体_GB2312" w:hint="eastAsia"/>
          <w:b/>
          <w:sz w:val="32"/>
          <w:szCs w:val="32"/>
        </w:rPr>
        <w:t>（二）部门整体绩效目标设立情况</w:t>
      </w:r>
      <w:bookmarkEnd w:id="5"/>
    </w:p>
    <w:p w:rsidR="0038608B" w:rsidRDefault="00FA51B8">
      <w:pPr>
        <w:snapToGrid w:val="0"/>
        <w:spacing w:line="580" w:lineRule="exact"/>
        <w:ind w:firstLineChars="200" w:firstLine="640"/>
        <w:outlineLvl w:val="1"/>
        <w:rPr>
          <w:rFonts w:ascii="Times New Roman" w:eastAsia="仿宋_GB2312" w:hAnsi="Times New Roman"/>
          <w:bCs/>
          <w:sz w:val="32"/>
          <w:szCs w:val="32"/>
        </w:rPr>
      </w:pPr>
      <w:r>
        <w:rPr>
          <w:rFonts w:ascii="Times New Roman" w:eastAsia="仿宋_GB2312" w:hAnsi="Times New Roman" w:hint="eastAsia"/>
          <w:bCs/>
          <w:sz w:val="32"/>
          <w:szCs w:val="32"/>
        </w:rPr>
        <w:t>北京市地震局紧扣新时代防震减灾事业发展要求，围绕</w:t>
      </w:r>
      <w:r>
        <w:rPr>
          <w:rFonts w:ascii="Times New Roman" w:eastAsia="仿宋_GB2312" w:hAnsi="Times New Roman" w:hint="eastAsia"/>
          <w:bCs/>
          <w:sz w:val="32"/>
          <w:szCs w:val="32"/>
        </w:rPr>
        <w:t>2024</w:t>
      </w:r>
      <w:r>
        <w:rPr>
          <w:rFonts w:ascii="Times New Roman" w:eastAsia="仿宋_GB2312" w:hAnsi="Times New Roman" w:hint="eastAsia"/>
          <w:bCs/>
          <w:sz w:val="32"/>
          <w:szCs w:val="32"/>
        </w:rPr>
        <w:t>年度重点工作任务，严格遵循财政预算管理规范，统筹</w:t>
      </w:r>
      <w:r>
        <w:rPr>
          <w:rFonts w:ascii="Times New Roman" w:eastAsia="仿宋_GB2312" w:hAnsi="Times New Roman" w:hint="eastAsia"/>
          <w:bCs/>
          <w:sz w:val="32"/>
          <w:szCs w:val="32"/>
        </w:rPr>
        <w:lastRenderedPageBreak/>
        <w:t>考虑部门职能定位与资金使用效益，系统编报了涵盖监测预报、震害防御等核心业务的《北京市地震局</w:t>
      </w:r>
      <w:r>
        <w:rPr>
          <w:rFonts w:ascii="Times New Roman" w:eastAsia="仿宋_GB2312" w:hAnsi="Times New Roman" w:hint="eastAsia"/>
          <w:bCs/>
          <w:sz w:val="32"/>
          <w:szCs w:val="32"/>
        </w:rPr>
        <w:t>2024</w:t>
      </w:r>
      <w:r>
        <w:rPr>
          <w:rFonts w:ascii="Times New Roman" w:eastAsia="仿宋_GB2312" w:hAnsi="Times New Roman" w:hint="eastAsia"/>
          <w:bCs/>
          <w:sz w:val="32"/>
          <w:szCs w:val="32"/>
        </w:rPr>
        <w:t>年部门整体支出绩效目标申报表》，明确了部门总体绩效目标：通过实现监测站以专线方式</w:t>
      </w:r>
      <w:proofErr w:type="gramStart"/>
      <w:r>
        <w:rPr>
          <w:rFonts w:ascii="Times New Roman" w:eastAsia="仿宋_GB2312" w:hAnsi="Times New Roman" w:hint="eastAsia"/>
          <w:bCs/>
          <w:sz w:val="32"/>
          <w:szCs w:val="32"/>
        </w:rPr>
        <w:t>接入市</w:t>
      </w:r>
      <w:proofErr w:type="gramEnd"/>
      <w:r>
        <w:rPr>
          <w:rFonts w:ascii="Times New Roman" w:eastAsia="仿宋_GB2312" w:hAnsi="Times New Roman" w:hint="eastAsia"/>
          <w:bCs/>
          <w:sz w:val="32"/>
          <w:szCs w:val="32"/>
        </w:rPr>
        <w:t>地震局地震信息网络平台，保证地震监测预警、预测预报、风险探查、地震应急等系统的有效运行，提高地震风险识别与预测评估能力；通过近断层强地面运动预测及灾害性评价，为本市城市规划、跨断层构建筑物的断层避让及抗震设防提供科学依据；通过保障强震风险监测台网数据和地震风险形势分析报告正常产出，做好重点时段和重大活动地震安全保障服务；通过举办培训、活动，出版图书教材，加强防震减灾宣传和舆情引导，积极回应社会关切，稳定舆论，扩大防震减灾知识普及率和传播面。</w:t>
      </w:r>
    </w:p>
    <w:p w:rsidR="0038608B" w:rsidRDefault="00FA51B8">
      <w:pPr>
        <w:snapToGrid w:val="0"/>
        <w:spacing w:line="580" w:lineRule="exact"/>
        <w:ind w:firstLineChars="200" w:firstLine="640"/>
        <w:outlineLvl w:val="1"/>
        <w:rPr>
          <w:rFonts w:ascii="Times New Roman" w:eastAsia="仿宋_GB2312" w:hAnsi="Times New Roman"/>
          <w:bCs/>
          <w:sz w:val="32"/>
          <w:szCs w:val="32"/>
        </w:rPr>
      </w:pPr>
      <w:r>
        <w:rPr>
          <w:rFonts w:ascii="Times New Roman" w:eastAsia="仿宋_GB2312" w:hAnsi="Times New Roman" w:hint="eastAsia"/>
          <w:bCs/>
          <w:sz w:val="32"/>
          <w:szCs w:val="32"/>
        </w:rPr>
        <w:t>根据总体绩效目标及年度重点工作安排，北京市地震局对整体绩效目标进行细化，重点从地震科普与宣传、地震灾害预防、地震监测三个维度构建分项绩效指标。指标设定严格对标《中华人民共和国防震减灾法》等法规要求，与全局职能任务相匹配，既体现事业发展导向，又符合部门整体支出的客观实际，目标依据充分，具有一定的可操作性和可实现性。</w:t>
      </w:r>
    </w:p>
    <w:p w:rsidR="0038608B" w:rsidRDefault="00FA51B8">
      <w:pPr>
        <w:snapToGrid w:val="0"/>
        <w:spacing w:line="580" w:lineRule="exact"/>
        <w:ind w:firstLineChars="200" w:firstLine="640"/>
        <w:outlineLvl w:val="1"/>
        <w:rPr>
          <w:rFonts w:ascii="黑体" w:eastAsia="黑体" w:hAnsi="黑体"/>
          <w:sz w:val="32"/>
          <w:szCs w:val="32"/>
        </w:rPr>
      </w:pPr>
      <w:bookmarkStart w:id="6" w:name="_Toc106001809"/>
      <w:r>
        <w:rPr>
          <w:rFonts w:ascii="黑体" w:eastAsia="黑体" w:hAnsi="黑体" w:hint="eastAsia"/>
          <w:sz w:val="32"/>
          <w:szCs w:val="32"/>
        </w:rPr>
        <w:t>二、当年预算执行情况</w:t>
      </w:r>
      <w:bookmarkEnd w:id="6"/>
    </w:p>
    <w:p w:rsidR="0015295F" w:rsidRPr="0015295F" w:rsidRDefault="00FA51B8" w:rsidP="0015295F">
      <w:pPr>
        <w:snapToGrid w:val="0"/>
        <w:spacing w:line="580" w:lineRule="exact"/>
        <w:ind w:firstLineChars="200" w:firstLine="640"/>
        <w:outlineLvl w:val="1"/>
        <w:rPr>
          <w:rFonts w:ascii="Times New Roman" w:eastAsia="仿宋_GB2312" w:hAnsi="Times New Roman"/>
          <w:bCs/>
          <w:sz w:val="32"/>
          <w:szCs w:val="32"/>
        </w:rPr>
      </w:pPr>
      <w:r>
        <w:rPr>
          <w:rFonts w:ascii="Times New Roman" w:eastAsia="仿宋_GB2312" w:hAnsi="Times New Roman" w:hint="eastAsia"/>
          <w:bCs/>
          <w:sz w:val="32"/>
          <w:szCs w:val="32"/>
        </w:rPr>
        <w:t>2024</w:t>
      </w:r>
      <w:r>
        <w:rPr>
          <w:rFonts w:ascii="Times New Roman" w:eastAsia="仿宋_GB2312" w:hAnsi="Times New Roman" w:hint="eastAsia"/>
          <w:bCs/>
          <w:sz w:val="32"/>
          <w:szCs w:val="32"/>
        </w:rPr>
        <w:t>年全年预算数</w:t>
      </w:r>
      <w:r>
        <w:rPr>
          <w:rFonts w:ascii="Times New Roman" w:eastAsia="仿宋_GB2312" w:hAnsi="Times New Roman" w:hint="eastAsia"/>
          <w:bCs/>
          <w:sz w:val="32"/>
          <w:szCs w:val="32"/>
        </w:rPr>
        <w:t>34662.93</w:t>
      </w:r>
      <w:r>
        <w:rPr>
          <w:rFonts w:ascii="Times New Roman" w:eastAsia="仿宋_GB2312" w:hAnsi="Times New Roman" w:hint="eastAsia"/>
          <w:bCs/>
          <w:sz w:val="32"/>
          <w:szCs w:val="32"/>
        </w:rPr>
        <w:t>万元，其中，基本支出预算数</w:t>
      </w:r>
      <w:r>
        <w:rPr>
          <w:rFonts w:ascii="Times New Roman" w:eastAsia="仿宋_GB2312" w:hAnsi="Times New Roman" w:hint="eastAsia"/>
          <w:bCs/>
          <w:sz w:val="32"/>
          <w:szCs w:val="32"/>
        </w:rPr>
        <w:t>5917.16</w:t>
      </w:r>
      <w:r>
        <w:rPr>
          <w:rFonts w:ascii="Times New Roman" w:eastAsia="仿宋_GB2312" w:hAnsi="Times New Roman" w:hint="eastAsia"/>
          <w:bCs/>
          <w:sz w:val="32"/>
          <w:szCs w:val="32"/>
        </w:rPr>
        <w:t>万元，项目支出预算数</w:t>
      </w:r>
      <w:r>
        <w:rPr>
          <w:rFonts w:ascii="Times New Roman" w:eastAsia="仿宋_GB2312" w:hAnsi="Times New Roman" w:hint="eastAsia"/>
          <w:bCs/>
          <w:sz w:val="32"/>
          <w:szCs w:val="32"/>
        </w:rPr>
        <w:t>28745.77</w:t>
      </w:r>
      <w:r>
        <w:rPr>
          <w:rFonts w:ascii="Times New Roman" w:eastAsia="仿宋_GB2312" w:hAnsi="Times New Roman" w:hint="eastAsia"/>
          <w:bCs/>
          <w:sz w:val="32"/>
          <w:szCs w:val="32"/>
        </w:rPr>
        <w:t>万元。全年支出</w:t>
      </w:r>
      <w:r>
        <w:rPr>
          <w:rFonts w:ascii="Times New Roman" w:eastAsia="仿宋_GB2312" w:hAnsi="Times New Roman" w:hint="eastAsia"/>
          <w:bCs/>
          <w:sz w:val="32"/>
          <w:szCs w:val="32"/>
        </w:rPr>
        <w:t>31077.47</w:t>
      </w:r>
      <w:r>
        <w:rPr>
          <w:rFonts w:ascii="Times New Roman" w:eastAsia="仿宋_GB2312" w:hAnsi="Times New Roman" w:hint="eastAsia"/>
          <w:bCs/>
          <w:sz w:val="32"/>
          <w:szCs w:val="32"/>
        </w:rPr>
        <w:t>万元，其中，基本支出</w:t>
      </w:r>
      <w:r>
        <w:rPr>
          <w:rFonts w:ascii="Times New Roman" w:eastAsia="仿宋_GB2312" w:hAnsi="Times New Roman" w:hint="eastAsia"/>
          <w:bCs/>
          <w:sz w:val="32"/>
          <w:szCs w:val="32"/>
        </w:rPr>
        <w:t>5777.05</w:t>
      </w:r>
      <w:r>
        <w:rPr>
          <w:rFonts w:ascii="Times New Roman" w:eastAsia="仿宋_GB2312" w:hAnsi="Times New Roman" w:hint="eastAsia"/>
          <w:bCs/>
          <w:sz w:val="32"/>
          <w:szCs w:val="32"/>
        </w:rPr>
        <w:t>万元，项目支出</w:t>
      </w:r>
      <w:r>
        <w:rPr>
          <w:rFonts w:ascii="Times New Roman" w:eastAsia="仿宋_GB2312" w:hAnsi="Times New Roman" w:hint="eastAsia"/>
          <w:bCs/>
          <w:sz w:val="32"/>
          <w:szCs w:val="32"/>
        </w:rPr>
        <w:lastRenderedPageBreak/>
        <w:t>25300.42</w:t>
      </w:r>
      <w:r>
        <w:rPr>
          <w:rFonts w:ascii="Times New Roman" w:eastAsia="仿宋_GB2312" w:hAnsi="Times New Roman" w:hint="eastAsia"/>
          <w:bCs/>
          <w:sz w:val="32"/>
          <w:szCs w:val="32"/>
        </w:rPr>
        <w:t>万元。预算执行率为</w:t>
      </w:r>
      <w:r>
        <w:rPr>
          <w:rFonts w:ascii="Times New Roman" w:eastAsia="仿宋_GB2312" w:hAnsi="Times New Roman" w:hint="eastAsia"/>
          <w:bCs/>
          <w:sz w:val="32"/>
          <w:szCs w:val="32"/>
        </w:rPr>
        <w:t>89.66%</w:t>
      </w:r>
      <w:r>
        <w:rPr>
          <w:rFonts w:ascii="Times New Roman" w:eastAsia="仿宋_GB2312" w:hAnsi="Times New Roman" w:hint="eastAsia"/>
          <w:bCs/>
          <w:sz w:val="32"/>
          <w:szCs w:val="32"/>
        </w:rPr>
        <w:t>。</w:t>
      </w:r>
    </w:p>
    <w:p w:rsidR="0038608B" w:rsidRDefault="00FA51B8">
      <w:pPr>
        <w:snapToGrid w:val="0"/>
        <w:spacing w:line="580" w:lineRule="exact"/>
        <w:ind w:firstLineChars="200" w:firstLine="640"/>
        <w:outlineLvl w:val="1"/>
        <w:rPr>
          <w:rFonts w:ascii="黑体" w:eastAsia="黑体" w:hAnsi="黑体"/>
          <w:sz w:val="32"/>
          <w:szCs w:val="32"/>
        </w:rPr>
      </w:pPr>
      <w:bookmarkStart w:id="7" w:name="_Toc106001810"/>
      <w:r>
        <w:rPr>
          <w:rFonts w:ascii="黑体" w:eastAsia="黑体" w:hAnsi="黑体" w:hint="eastAsia"/>
          <w:sz w:val="32"/>
          <w:szCs w:val="32"/>
        </w:rPr>
        <w:t>三、整体绩效目标实现情况</w:t>
      </w:r>
      <w:bookmarkEnd w:id="7"/>
      <w:r>
        <w:rPr>
          <w:rFonts w:ascii="黑体" w:eastAsia="黑体" w:hAnsi="黑体" w:hint="eastAsia"/>
          <w:sz w:val="32"/>
          <w:szCs w:val="32"/>
        </w:rPr>
        <w:tab/>
      </w:r>
    </w:p>
    <w:p w:rsidR="0038608B" w:rsidRDefault="00FA51B8">
      <w:pPr>
        <w:snapToGrid w:val="0"/>
        <w:spacing w:line="580" w:lineRule="exact"/>
        <w:ind w:firstLineChars="200" w:firstLine="643"/>
        <w:outlineLvl w:val="1"/>
        <w:rPr>
          <w:rFonts w:ascii="楷体_GB2312" w:eastAsia="楷体_GB2312" w:hAnsi="楷体_GB2312" w:cs="楷体_GB2312"/>
          <w:b/>
          <w:sz w:val="32"/>
          <w:szCs w:val="32"/>
        </w:rPr>
      </w:pPr>
      <w:bookmarkStart w:id="8" w:name="_Toc106001811"/>
      <w:r>
        <w:rPr>
          <w:rFonts w:ascii="楷体_GB2312" w:eastAsia="楷体_GB2312" w:hAnsi="楷体_GB2312" w:cs="楷体_GB2312" w:hint="eastAsia"/>
          <w:b/>
          <w:sz w:val="32"/>
          <w:szCs w:val="32"/>
        </w:rPr>
        <w:t>（一）产出完成情况分析</w:t>
      </w:r>
      <w:bookmarkEnd w:id="8"/>
    </w:p>
    <w:p w:rsidR="0038608B" w:rsidRDefault="00FA51B8">
      <w:pPr>
        <w:snapToGrid w:val="0"/>
        <w:spacing w:line="580" w:lineRule="exact"/>
        <w:ind w:firstLineChars="200" w:firstLine="643"/>
        <w:outlineLvl w:val="1"/>
        <w:rPr>
          <w:rFonts w:ascii="Times New Roman" w:eastAsia="仿宋_GB2312" w:hAnsi="Times New Roman"/>
          <w:b/>
          <w:sz w:val="32"/>
          <w:szCs w:val="32"/>
        </w:rPr>
      </w:pPr>
      <w:r>
        <w:rPr>
          <w:rFonts w:ascii="Times New Roman" w:eastAsia="仿宋_GB2312" w:hAnsi="Times New Roman" w:hint="eastAsia"/>
          <w:b/>
          <w:sz w:val="32"/>
          <w:szCs w:val="32"/>
        </w:rPr>
        <w:t>1.</w:t>
      </w:r>
      <w:bookmarkStart w:id="9" w:name="OLE_LINK2"/>
      <w:r>
        <w:rPr>
          <w:rFonts w:ascii="Times New Roman" w:eastAsia="仿宋_GB2312" w:hAnsi="Times New Roman" w:hint="eastAsia"/>
          <w:b/>
          <w:sz w:val="32"/>
          <w:szCs w:val="32"/>
        </w:rPr>
        <w:t>产出数量</w:t>
      </w:r>
      <w:bookmarkEnd w:id="9"/>
    </w:p>
    <w:p w:rsidR="0038608B" w:rsidRDefault="00FA51B8">
      <w:pPr>
        <w:snapToGrid w:val="0"/>
        <w:spacing w:line="580" w:lineRule="exact"/>
        <w:ind w:firstLineChars="200" w:firstLine="640"/>
        <w:outlineLvl w:val="1"/>
        <w:rPr>
          <w:rFonts w:ascii="Times New Roman" w:eastAsia="仿宋_GB2312" w:hAnsi="Times New Roman"/>
          <w:bCs/>
          <w:sz w:val="32"/>
          <w:szCs w:val="32"/>
        </w:rPr>
      </w:pPr>
      <w:r>
        <w:rPr>
          <w:rFonts w:ascii="Times New Roman" w:eastAsia="仿宋_GB2312" w:hAnsi="Times New Roman" w:hint="eastAsia"/>
          <w:bCs/>
          <w:sz w:val="32"/>
          <w:szCs w:val="32"/>
        </w:rPr>
        <w:t>科普与宣传方面，北京市地震局</w:t>
      </w:r>
      <w:r>
        <w:rPr>
          <w:rFonts w:ascii="Times New Roman" w:eastAsia="仿宋_GB2312" w:hAnsi="Times New Roman" w:hint="eastAsia"/>
          <w:bCs/>
          <w:sz w:val="32"/>
          <w:szCs w:val="32"/>
        </w:rPr>
        <w:t>2024</w:t>
      </w:r>
      <w:r>
        <w:rPr>
          <w:rFonts w:ascii="Times New Roman" w:eastAsia="仿宋_GB2312" w:hAnsi="Times New Roman" w:hint="eastAsia"/>
          <w:bCs/>
          <w:sz w:val="32"/>
          <w:szCs w:val="32"/>
        </w:rPr>
        <w:t>年组织防震减灾科普宣传活动媒体报道</w:t>
      </w:r>
      <w:r>
        <w:rPr>
          <w:rFonts w:ascii="Times New Roman" w:eastAsia="仿宋_GB2312" w:hAnsi="Times New Roman" w:hint="eastAsia"/>
          <w:bCs/>
          <w:sz w:val="32"/>
          <w:szCs w:val="32"/>
        </w:rPr>
        <w:t>23</w:t>
      </w:r>
      <w:r>
        <w:rPr>
          <w:rFonts w:ascii="Times New Roman" w:eastAsia="仿宋_GB2312" w:hAnsi="Times New Roman" w:hint="eastAsia"/>
          <w:bCs/>
          <w:sz w:val="32"/>
          <w:szCs w:val="32"/>
        </w:rPr>
        <w:t>次；支持包括全市防灾减灾日活动在内的线上线下活动</w:t>
      </w:r>
      <w:r>
        <w:rPr>
          <w:rFonts w:ascii="Times New Roman" w:eastAsia="仿宋_GB2312" w:hAnsi="Times New Roman" w:hint="eastAsia"/>
          <w:bCs/>
          <w:sz w:val="32"/>
          <w:szCs w:val="32"/>
        </w:rPr>
        <w:t>20</w:t>
      </w:r>
      <w:r>
        <w:rPr>
          <w:rFonts w:ascii="Times New Roman" w:eastAsia="仿宋_GB2312" w:hAnsi="Times New Roman" w:hint="eastAsia"/>
          <w:bCs/>
          <w:sz w:val="32"/>
          <w:szCs w:val="32"/>
        </w:rPr>
        <w:t>场。</w:t>
      </w:r>
    </w:p>
    <w:p w:rsidR="0038608B" w:rsidRDefault="00FA51B8">
      <w:pPr>
        <w:snapToGrid w:val="0"/>
        <w:spacing w:line="580" w:lineRule="exact"/>
        <w:ind w:firstLineChars="200" w:firstLine="640"/>
        <w:outlineLvl w:val="1"/>
        <w:rPr>
          <w:rFonts w:ascii="Times New Roman" w:eastAsia="仿宋_GB2312" w:hAnsi="Times New Roman"/>
          <w:bCs/>
          <w:sz w:val="32"/>
          <w:szCs w:val="32"/>
        </w:rPr>
      </w:pPr>
      <w:r>
        <w:rPr>
          <w:rFonts w:ascii="Times New Roman" w:eastAsia="仿宋_GB2312" w:hAnsi="Times New Roman" w:hint="eastAsia"/>
          <w:bCs/>
          <w:sz w:val="32"/>
          <w:szCs w:val="32"/>
        </w:rPr>
        <w:t>地震灾害预防方面，北京市地震局完成了目标区域内遥感解译，断裂带位错量提取，结果验证、图件编制、调查报告编写及成果数据库建设等工作；完成深地震反射探测；技术人员完成了</w:t>
      </w:r>
      <w:r w:rsidR="00CF2F75">
        <w:rPr>
          <w:rFonts w:ascii="Times New Roman" w:eastAsia="仿宋_GB2312" w:hAnsi="Times New Roman" w:hint="eastAsia"/>
          <w:bCs/>
          <w:sz w:val="32"/>
          <w:szCs w:val="32"/>
        </w:rPr>
        <w:t>相关</w:t>
      </w:r>
      <w:r>
        <w:rPr>
          <w:rFonts w:ascii="Times New Roman" w:eastAsia="仿宋_GB2312" w:hAnsi="Times New Roman" w:hint="eastAsia"/>
          <w:bCs/>
          <w:sz w:val="32"/>
          <w:szCs w:val="32"/>
        </w:rPr>
        <w:t>区域风险评估工作。</w:t>
      </w:r>
    </w:p>
    <w:p w:rsidR="0038608B" w:rsidRDefault="00FA51B8">
      <w:pPr>
        <w:snapToGrid w:val="0"/>
        <w:spacing w:line="580" w:lineRule="exact"/>
        <w:ind w:firstLineChars="200" w:firstLine="640"/>
        <w:outlineLvl w:val="1"/>
        <w:rPr>
          <w:rFonts w:ascii="Times New Roman" w:eastAsia="仿宋_GB2312" w:hAnsi="Times New Roman"/>
          <w:bCs/>
          <w:sz w:val="32"/>
          <w:szCs w:val="32"/>
        </w:rPr>
      </w:pPr>
      <w:r>
        <w:rPr>
          <w:rFonts w:ascii="Times New Roman" w:eastAsia="仿宋_GB2312" w:hAnsi="Times New Roman"/>
          <w:bCs/>
          <w:sz w:val="32"/>
          <w:szCs w:val="32"/>
        </w:rPr>
        <w:t>地震监测</w:t>
      </w:r>
      <w:r>
        <w:rPr>
          <w:rFonts w:ascii="Times New Roman" w:eastAsia="仿宋_GB2312" w:hAnsi="Times New Roman" w:hint="eastAsia"/>
          <w:bCs/>
          <w:sz w:val="32"/>
          <w:szCs w:val="32"/>
        </w:rPr>
        <w:t>方面，为确保重要时段社会安全稳定，圆满完成了</w:t>
      </w:r>
      <w:r w:rsidR="00CF2F75">
        <w:rPr>
          <w:rFonts w:ascii="Times New Roman" w:eastAsia="仿宋_GB2312" w:hAnsi="Times New Roman" w:hint="eastAsia"/>
          <w:bCs/>
          <w:sz w:val="32"/>
          <w:szCs w:val="32"/>
        </w:rPr>
        <w:t>重要时段</w:t>
      </w:r>
      <w:r>
        <w:rPr>
          <w:rFonts w:ascii="Times New Roman" w:eastAsia="仿宋_GB2312" w:hAnsi="Times New Roman" w:hint="eastAsia"/>
          <w:bCs/>
          <w:sz w:val="32"/>
          <w:szCs w:val="32"/>
        </w:rPr>
        <w:t>地震安全保障服务工作，累计提供专项监测服务达</w:t>
      </w:r>
      <w:r>
        <w:rPr>
          <w:rFonts w:ascii="Times New Roman" w:eastAsia="仿宋_GB2312" w:hAnsi="Times New Roman" w:hint="eastAsia"/>
          <w:bCs/>
          <w:sz w:val="32"/>
          <w:szCs w:val="32"/>
        </w:rPr>
        <w:t>30</w:t>
      </w:r>
      <w:r>
        <w:rPr>
          <w:rFonts w:ascii="Times New Roman" w:eastAsia="仿宋_GB2312" w:hAnsi="Times New Roman" w:hint="eastAsia"/>
          <w:bCs/>
          <w:sz w:val="32"/>
          <w:szCs w:val="32"/>
        </w:rPr>
        <w:t>天。</w:t>
      </w:r>
    </w:p>
    <w:p w:rsidR="0038608B" w:rsidRDefault="00FA51B8">
      <w:pPr>
        <w:snapToGrid w:val="0"/>
        <w:spacing w:line="580" w:lineRule="exact"/>
        <w:ind w:firstLineChars="200" w:firstLine="643"/>
        <w:outlineLvl w:val="1"/>
        <w:rPr>
          <w:rFonts w:ascii="Times New Roman" w:eastAsia="仿宋_GB2312" w:hAnsi="Times New Roman"/>
          <w:b/>
          <w:sz w:val="32"/>
          <w:szCs w:val="32"/>
        </w:rPr>
      </w:pPr>
      <w:r>
        <w:rPr>
          <w:rFonts w:ascii="Times New Roman" w:eastAsia="仿宋_GB2312" w:hAnsi="Times New Roman" w:hint="eastAsia"/>
          <w:b/>
          <w:sz w:val="32"/>
          <w:szCs w:val="32"/>
        </w:rPr>
        <w:t>2.</w:t>
      </w:r>
      <w:r>
        <w:rPr>
          <w:rFonts w:ascii="Times New Roman" w:eastAsia="仿宋_GB2312" w:hAnsi="Times New Roman" w:hint="eastAsia"/>
          <w:b/>
          <w:sz w:val="32"/>
          <w:szCs w:val="32"/>
        </w:rPr>
        <w:t>产出质量</w:t>
      </w:r>
    </w:p>
    <w:p w:rsidR="0038608B" w:rsidRDefault="00FA51B8">
      <w:pPr>
        <w:snapToGrid w:val="0"/>
        <w:spacing w:line="580" w:lineRule="exact"/>
        <w:ind w:firstLineChars="200" w:firstLine="640"/>
        <w:outlineLvl w:val="1"/>
        <w:rPr>
          <w:rFonts w:ascii="Times New Roman" w:eastAsia="仿宋_GB2312" w:hAnsi="Times New Roman"/>
          <w:bCs/>
          <w:sz w:val="32"/>
          <w:szCs w:val="32"/>
        </w:rPr>
      </w:pPr>
      <w:r>
        <w:rPr>
          <w:rFonts w:ascii="Times New Roman" w:eastAsia="仿宋_GB2312" w:hAnsi="Times New Roman"/>
          <w:bCs/>
          <w:sz w:val="32"/>
          <w:szCs w:val="32"/>
        </w:rPr>
        <w:t>北京市地震局通过高效运维应急指挥中心及基础信息服务系统，确保地震应急技术系统的稳定运行，为地震应急处置、灾害评估及政府决策提供了坚实的技术支撑，产出质量显著，具体体现如下：</w:t>
      </w:r>
    </w:p>
    <w:p w:rsidR="0038608B" w:rsidRDefault="00FA51B8">
      <w:pPr>
        <w:snapToGrid w:val="0"/>
        <w:spacing w:line="580" w:lineRule="exact"/>
        <w:ind w:firstLineChars="200" w:firstLine="643"/>
        <w:outlineLvl w:val="1"/>
        <w:rPr>
          <w:rFonts w:ascii="Times New Roman" w:eastAsia="仿宋_GB2312" w:hAnsi="Times New Roman"/>
          <w:bCs/>
          <w:sz w:val="32"/>
          <w:szCs w:val="32"/>
        </w:rPr>
      </w:pPr>
      <w:r>
        <w:rPr>
          <w:rFonts w:ascii="Times New Roman" w:eastAsia="仿宋_GB2312" w:hAnsi="Times New Roman" w:hint="eastAsia"/>
          <w:b/>
          <w:sz w:val="32"/>
          <w:szCs w:val="32"/>
        </w:rPr>
        <w:t>一是</w:t>
      </w:r>
      <w:r>
        <w:rPr>
          <w:rFonts w:ascii="Times New Roman" w:eastAsia="仿宋_GB2312" w:hAnsi="Times New Roman"/>
          <w:bCs/>
          <w:sz w:val="32"/>
          <w:szCs w:val="32"/>
        </w:rPr>
        <w:t>应急指挥系统高效协同，支撑多层级联动</w:t>
      </w:r>
      <w:r>
        <w:rPr>
          <w:rFonts w:ascii="Times New Roman" w:eastAsia="仿宋_GB2312" w:hAnsi="Times New Roman" w:hint="eastAsia"/>
          <w:bCs/>
          <w:sz w:val="32"/>
          <w:szCs w:val="32"/>
        </w:rPr>
        <w:t>。</w:t>
      </w:r>
      <w:r>
        <w:rPr>
          <w:rFonts w:ascii="Times New Roman" w:eastAsia="仿宋_GB2312" w:hAnsi="Times New Roman"/>
          <w:bCs/>
          <w:sz w:val="32"/>
          <w:szCs w:val="32"/>
        </w:rPr>
        <w:t>指挥中心基于视频会议系统，依托地震行业专网与北京市政务专网，实现与中国地震局、中国地震台网中心、</w:t>
      </w:r>
      <w:r>
        <w:rPr>
          <w:rFonts w:ascii="Times New Roman" w:eastAsia="仿宋_GB2312" w:hAnsi="Times New Roman" w:hint="eastAsia"/>
          <w:bCs/>
          <w:sz w:val="32"/>
          <w:szCs w:val="32"/>
        </w:rPr>
        <w:t>其他</w:t>
      </w:r>
      <w:r>
        <w:rPr>
          <w:rFonts w:ascii="Times New Roman" w:eastAsia="仿宋_GB2312" w:hAnsi="Times New Roman"/>
          <w:bCs/>
          <w:sz w:val="32"/>
          <w:szCs w:val="32"/>
        </w:rPr>
        <w:t>省地震局、北京市的有人值守台站及市区两级政府部门的实时互联互通。</w:t>
      </w:r>
      <w:r>
        <w:rPr>
          <w:rFonts w:ascii="Times New Roman" w:eastAsia="仿宋_GB2312" w:hAnsi="Times New Roman"/>
          <w:bCs/>
          <w:sz w:val="32"/>
          <w:szCs w:val="32"/>
        </w:rPr>
        <w:lastRenderedPageBreak/>
        <w:t>系统</w:t>
      </w:r>
      <w:r>
        <w:rPr>
          <w:rFonts w:ascii="Times New Roman" w:eastAsia="仿宋_GB2312" w:hAnsi="Times New Roman" w:hint="eastAsia"/>
          <w:bCs/>
          <w:sz w:val="32"/>
          <w:szCs w:val="32"/>
        </w:rPr>
        <w:t>基本可实现</w:t>
      </w:r>
      <w:r>
        <w:rPr>
          <w:rFonts w:ascii="Times New Roman" w:eastAsia="仿宋_GB2312" w:hAnsi="Times New Roman"/>
          <w:bCs/>
          <w:sz w:val="32"/>
          <w:szCs w:val="32"/>
        </w:rPr>
        <w:t>全年无故障运行，保障了地震应急响应期间跨部门、跨区域的高</w:t>
      </w:r>
      <w:proofErr w:type="gramStart"/>
      <w:r>
        <w:rPr>
          <w:rFonts w:ascii="Times New Roman" w:eastAsia="仿宋_GB2312" w:hAnsi="Times New Roman"/>
          <w:bCs/>
          <w:sz w:val="32"/>
          <w:szCs w:val="32"/>
        </w:rPr>
        <w:t>效</w:t>
      </w:r>
      <w:proofErr w:type="gramEnd"/>
      <w:r>
        <w:rPr>
          <w:rFonts w:ascii="Times New Roman" w:eastAsia="仿宋_GB2312" w:hAnsi="Times New Roman"/>
          <w:bCs/>
          <w:sz w:val="32"/>
          <w:szCs w:val="32"/>
        </w:rPr>
        <w:t>协同，尤其在重大地震事件中，信息报送及时准确</w:t>
      </w:r>
      <w:r>
        <w:rPr>
          <w:rFonts w:ascii="Times New Roman" w:eastAsia="仿宋_GB2312" w:hAnsi="Times New Roman" w:hint="eastAsia"/>
          <w:bCs/>
          <w:sz w:val="32"/>
          <w:szCs w:val="32"/>
        </w:rPr>
        <w:t>，</w:t>
      </w:r>
      <w:r>
        <w:rPr>
          <w:rFonts w:ascii="Times New Roman" w:eastAsia="仿宋_GB2312" w:hAnsi="Times New Roman"/>
          <w:bCs/>
          <w:sz w:val="32"/>
          <w:szCs w:val="32"/>
        </w:rPr>
        <w:t>快速生成并推送的灾害评估结果成为应急决策的核心依据。</w:t>
      </w:r>
    </w:p>
    <w:p w:rsidR="0038608B" w:rsidRDefault="00FA51B8">
      <w:pPr>
        <w:snapToGrid w:val="0"/>
        <w:spacing w:line="580" w:lineRule="exact"/>
        <w:ind w:firstLineChars="200" w:firstLine="643"/>
        <w:outlineLvl w:val="1"/>
        <w:rPr>
          <w:rFonts w:ascii="Times New Roman" w:eastAsia="仿宋_GB2312" w:hAnsi="Times New Roman"/>
          <w:bCs/>
          <w:sz w:val="32"/>
          <w:szCs w:val="32"/>
        </w:rPr>
      </w:pPr>
      <w:r>
        <w:rPr>
          <w:rFonts w:ascii="Times New Roman" w:eastAsia="仿宋_GB2312" w:hAnsi="Times New Roman" w:hint="eastAsia"/>
          <w:b/>
          <w:sz w:val="32"/>
          <w:szCs w:val="32"/>
        </w:rPr>
        <w:t>二是</w:t>
      </w:r>
      <w:r>
        <w:rPr>
          <w:rFonts w:ascii="Times New Roman" w:eastAsia="仿宋_GB2312" w:hAnsi="Times New Roman"/>
          <w:bCs/>
          <w:sz w:val="32"/>
          <w:szCs w:val="32"/>
        </w:rPr>
        <w:t>技术平台功能完备，应急处置精准高效</w:t>
      </w:r>
      <w:r>
        <w:rPr>
          <w:rFonts w:ascii="Times New Roman" w:eastAsia="仿宋_GB2312" w:hAnsi="Times New Roman" w:hint="eastAsia"/>
          <w:bCs/>
          <w:sz w:val="32"/>
          <w:szCs w:val="32"/>
        </w:rPr>
        <w:t>。</w:t>
      </w:r>
      <w:r>
        <w:rPr>
          <w:rFonts w:ascii="Times New Roman" w:eastAsia="仿宋_GB2312" w:hAnsi="Times New Roman"/>
          <w:bCs/>
          <w:sz w:val="32"/>
          <w:szCs w:val="32"/>
        </w:rPr>
        <w:t>通过集成</w:t>
      </w:r>
      <w:r>
        <w:rPr>
          <w:rFonts w:ascii="Times New Roman" w:eastAsia="仿宋_GB2312" w:hAnsi="Times New Roman"/>
          <w:bCs/>
          <w:sz w:val="32"/>
          <w:szCs w:val="32"/>
        </w:rPr>
        <w:t>LED</w:t>
      </w:r>
      <w:r>
        <w:rPr>
          <w:rFonts w:ascii="Times New Roman" w:eastAsia="仿宋_GB2312" w:hAnsi="Times New Roman"/>
          <w:bCs/>
          <w:sz w:val="32"/>
          <w:szCs w:val="32"/>
        </w:rPr>
        <w:t>大屏投影、多路信号矩阵、灾害快速评估、辅助决策等软硬件系统，指挥中心实现地震应急全流程智能化管理。系统具备自动启动、信息推送及远程控制功能，在地震应急处置中发挥着至关重要的作用。</w:t>
      </w:r>
    </w:p>
    <w:p w:rsidR="0038608B" w:rsidRDefault="00FA51B8">
      <w:pPr>
        <w:snapToGrid w:val="0"/>
        <w:spacing w:line="580" w:lineRule="exact"/>
        <w:ind w:firstLineChars="200" w:firstLine="643"/>
        <w:outlineLvl w:val="1"/>
        <w:rPr>
          <w:rFonts w:ascii="Times New Roman" w:eastAsia="仿宋_GB2312" w:hAnsi="Times New Roman"/>
          <w:bCs/>
          <w:sz w:val="32"/>
          <w:szCs w:val="32"/>
        </w:rPr>
      </w:pPr>
      <w:r>
        <w:rPr>
          <w:rFonts w:ascii="Times New Roman" w:eastAsia="仿宋_GB2312" w:hAnsi="Times New Roman" w:hint="eastAsia"/>
          <w:b/>
          <w:sz w:val="32"/>
          <w:szCs w:val="32"/>
        </w:rPr>
        <w:t>三是</w:t>
      </w:r>
      <w:r>
        <w:rPr>
          <w:rFonts w:ascii="Times New Roman" w:eastAsia="仿宋_GB2312" w:hAnsi="Times New Roman"/>
          <w:bCs/>
          <w:sz w:val="32"/>
          <w:szCs w:val="32"/>
        </w:rPr>
        <w:t>基础信息服务系统稳定运行，保障业务连续性</w:t>
      </w:r>
      <w:r>
        <w:rPr>
          <w:rFonts w:ascii="Times New Roman" w:eastAsia="仿宋_GB2312" w:hAnsi="Times New Roman" w:hint="eastAsia"/>
          <w:bCs/>
          <w:sz w:val="32"/>
          <w:szCs w:val="32"/>
        </w:rPr>
        <w:t>。</w:t>
      </w:r>
      <w:r>
        <w:rPr>
          <w:rFonts w:ascii="Times New Roman" w:eastAsia="仿宋_GB2312" w:hAnsi="Times New Roman"/>
          <w:bCs/>
          <w:sz w:val="32"/>
          <w:szCs w:val="32"/>
        </w:rPr>
        <w:t>固定电话、短信平台、政务信息显示屏及网络安全系统等基础设施全年运维达标，未发生重大网络安全事故</w:t>
      </w:r>
      <w:r>
        <w:rPr>
          <w:rFonts w:ascii="Times New Roman" w:eastAsia="仿宋_GB2312" w:hAnsi="Times New Roman" w:hint="eastAsia"/>
          <w:bCs/>
          <w:sz w:val="32"/>
          <w:szCs w:val="32"/>
        </w:rPr>
        <w:t>，</w:t>
      </w:r>
      <w:r>
        <w:rPr>
          <w:rFonts w:ascii="Times New Roman" w:eastAsia="仿宋_GB2312" w:hAnsi="Times New Roman"/>
          <w:bCs/>
          <w:sz w:val="32"/>
          <w:szCs w:val="32"/>
        </w:rPr>
        <w:t>有效支撑了日常业务与应急响应</w:t>
      </w:r>
      <w:r>
        <w:rPr>
          <w:rFonts w:ascii="Times New Roman" w:eastAsia="仿宋_GB2312" w:hAnsi="Times New Roman" w:hint="eastAsia"/>
          <w:bCs/>
          <w:sz w:val="32"/>
          <w:szCs w:val="32"/>
        </w:rPr>
        <w:t>，</w:t>
      </w:r>
      <w:r>
        <w:rPr>
          <w:rFonts w:ascii="Times New Roman" w:eastAsia="仿宋_GB2312" w:hAnsi="Times New Roman"/>
          <w:bCs/>
          <w:sz w:val="32"/>
          <w:szCs w:val="32"/>
        </w:rPr>
        <w:t>为全局业务提供了零中断的基础环境保障。</w:t>
      </w:r>
    </w:p>
    <w:p w:rsidR="0038608B" w:rsidRDefault="00FA51B8">
      <w:pPr>
        <w:snapToGrid w:val="0"/>
        <w:spacing w:line="580" w:lineRule="exact"/>
        <w:ind w:firstLineChars="200" w:firstLine="643"/>
        <w:outlineLvl w:val="1"/>
        <w:rPr>
          <w:rFonts w:ascii="Times New Roman" w:eastAsia="仿宋_GB2312" w:hAnsi="Times New Roman"/>
          <w:b/>
          <w:sz w:val="32"/>
          <w:szCs w:val="32"/>
        </w:rPr>
      </w:pPr>
      <w:r>
        <w:rPr>
          <w:rFonts w:ascii="Times New Roman" w:eastAsia="仿宋_GB2312" w:hAnsi="Times New Roman" w:hint="eastAsia"/>
          <w:b/>
          <w:sz w:val="32"/>
          <w:szCs w:val="32"/>
        </w:rPr>
        <w:t>3.</w:t>
      </w:r>
      <w:r>
        <w:rPr>
          <w:rFonts w:ascii="Times New Roman" w:eastAsia="仿宋_GB2312" w:hAnsi="Times New Roman" w:hint="eastAsia"/>
          <w:b/>
          <w:sz w:val="32"/>
          <w:szCs w:val="32"/>
        </w:rPr>
        <w:t>产出进度</w:t>
      </w:r>
    </w:p>
    <w:p w:rsidR="0038608B" w:rsidRDefault="00FA51B8">
      <w:pPr>
        <w:snapToGrid w:val="0"/>
        <w:spacing w:line="580" w:lineRule="exact"/>
        <w:ind w:firstLineChars="200" w:firstLine="640"/>
        <w:outlineLvl w:val="1"/>
        <w:rPr>
          <w:rFonts w:ascii="Times New Roman" w:eastAsia="仿宋_GB2312" w:hAnsi="Times New Roman"/>
          <w:bCs/>
          <w:sz w:val="32"/>
          <w:szCs w:val="32"/>
        </w:rPr>
      </w:pPr>
      <w:r>
        <w:rPr>
          <w:rFonts w:ascii="Times New Roman" w:eastAsia="仿宋_GB2312" w:hAnsi="Times New Roman" w:hint="eastAsia"/>
          <w:bCs/>
          <w:sz w:val="32"/>
          <w:szCs w:val="32"/>
        </w:rPr>
        <w:t>预算执行率整体符合预期，项目能够按照工作计划和预算安排实施。</w:t>
      </w:r>
      <w:r>
        <w:rPr>
          <w:rFonts w:ascii="Times New Roman" w:eastAsia="仿宋_GB2312" w:hAnsi="Times New Roman" w:hint="eastAsia"/>
          <w:bCs/>
          <w:sz w:val="32"/>
          <w:szCs w:val="32"/>
        </w:rPr>
        <w:t>2024</w:t>
      </w:r>
      <w:r>
        <w:rPr>
          <w:rFonts w:ascii="Times New Roman" w:eastAsia="仿宋_GB2312" w:hAnsi="Times New Roman" w:hint="eastAsia"/>
          <w:bCs/>
          <w:sz w:val="32"/>
          <w:szCs w:val="32"/>
        </w:rPr>
        <w:t>年度实施的项目共设置时效指标</w:t>
      </w:r>
      <w:r>
        <w:rPr>
          <w:rFonts w:ascii="Times New Roman" w:eastAsia="仿宋_GB2312" w:hAnsi="Times New Roman" w:hint="eastAsia"/>
          <w:bCs/>
          <w:sz w:val="32"/>
          <w:szCs w:val="32"/>
        </w:rPr>
        <w:t>7</w:t>
      </w:r>
      <w:r>
        <w:rPr>
          <w:rFonts w:ascii="Times New Roman" w:eastAsia="仿宋_GB2312" w:hAnsi="Times New Roman" w:hint="eastAsia"/>
          <w:bCs/>
          <w:sz w:val="32"/>
          <w:szCs w:val="32"/>
        </w:rPr>
        <w:t>个，完成</w:t>
      </w:r>
      <w:r>
        <w:rPr>
          <w:rFonts w:ascii="Times New Roman" w:eastAsia="仿宋_GB2312" w:hAnsi="Times New Roman" w:hint="eastAsia"/>
          <w:bCs/>
          <w:sz w:val="32"/>
          <w:szCs w:val="32"/>
        </w:rPr>
        <w:t>7</w:t>
      </w:r>
      <w:r>
        <w:rPr>
          <w:rFonts w:ascii="Times New Roman" w:eastAsia="仿宋_GB2312" w:hAnsi="Times New Roman" w:hint="eastAsia"/>
          <w:bCs/>
          <w:sz w:val="32"/>
          <w:szCs w:val="32"/>
        </w:rPr>
        <w:t>个，产出进度按时完成率</w:t>
      </w:r>
      <w:r>
        <w:rPr>
          <w:rFonts w:ascii="Times New Roman" w:eastAsia="仿宋_GB2312" w:hAnsi="Times New Roman" w:hint="eastAsia"/>
          <w:bCs/>
          <w:sz w:val="32"/>
          <w:szCs w:val="32"/>
        </w:rPr>
        <w:t>100%</w:t>
      </w:r>
      <w:r>
        <w:rPr>
          <w:rFonts w:ascii="Times New Roman" w:eastAsia="仿宋_GB2312" w:hAnsi="Times New Roman" w:hint="eastAsia"/>
          <w:bCs/>
          <w:sz w:val="32"/>
          <w:szCs w:val="32"/>
        </w:rPr>
        <w:t>，充分体现了项目在进度管</w:t>
      </w:r>
      <w:proofErr w:type="gramStart"/>
      <w:r>
        <w:rPr>
          <w:rFonts w:ascii="Times New Roman" w:eastAsia="仿宋_GB2312" w:hAnsi="Times New Roman" w:hint="eastAsia"/>
          <w:bCs/>
          <w:sz w:val="32"/>
          <w:szCs w:val="32"/>
        </w:rPr>
        <w:t>控方面</w:t>
      </w:r>
      <w:proofErr w:type="gramEnd"/>
      <w:r>
        <w:rPr>
          <w:rFonts w:ascii="Times New Roman" w:eastAsia="仿宋_GB2312" w:hAnsi="Times New Roman" w:hint="eastAsia"/>
          <w:bCs/>
          <w:sz w:val="32"/>
          <w:szCs w:val="32"/>
        </w:rPr>
        <w:t>的高效性和执行力。</w:t>
      </w:r>
    </w:p>
    <w:p w:rsidR="0038608B" w:rsidRDefault="00FA51B8">
      <w:pPr>
        <w:snapToGrid w:val="0"/>
        <w:spacing w:line="580" w:lineRule="exact"/>
        <w:ind w:firstLineChars="200" w:firstLine="643"/>
        <w:outlineLvl w:val="1"/>
        <w:rPr>
          <w:rFonts w:ascii="Times New Roman" w:eastAsia="仿宋_GB2312" w:hAnsi="Times New Roman"/>
          <w:b/>
          <w:sz w:val="32"/>
          <w:szCs w:val="32"/>
        </w:rPr>
      </w:pPr>
      <w:r>
        <w:rPr>
          <w:rFonts w:ascii="Times New Roman" w:eastAsia="仿宋_GB2312" w:hAnsi="Times New Roman" w:hint="eastAsia"/>
          <w:b/>
          <w:sz w:val="32"/>
          <w:szCs w:val="32"/>
        </w:rPr>
        <w:t>4.</w:t>
      </w:r>
      <w:r>
        <w:rPr>
          <w:rFonts w:ascii="Times New Roman" w:eastAsia="仿宋_GB2312" w:hAnsi="Times New Roman" w:hint="eastAsia"/>
          <w:b/>
          <w:sz w:val="32"/>
          <w:szCs w:val="32"/>
        </w:rPr>
        <w:t>产出成本</w:t>
      </w:r>
    </w:p>
    <w:p w:rsidR="0038608B" w:rsidRDefault="00FA51B8">
      <w:pPr>
        <w:snapToGrid w:val="0"/>
        <w:spacing w:line="580" w:lineRule="exact"/>
        <w:ind w:firstLineChars="200" w:firstLine="640"/>
        <w:outlineLvl w:val="1"/>
        <w:rPr>
          <w:rFonts w:ascii="Times New Roman" w:eastAsia="仿宋_GB2312" w:hAnsi="Times New Roman"/>
          <w:bCs/>
          <w:sz w:val="32"/>
          <w:szCs w:val="32"/>
        </w:rPr>
      </w:pPr>
      <w:r>
        <w:rPr>
          <w:rFonts w:ascii="Times New Roman" w:eastAsia="仿宋_GB2312" w:hAnsi="Times New Roman" w:hint="eastAsia"/>
          <w:bCs/>
          <w:sz w:val="32"/>
          <w:szCs w:val="32"/>
        </w:rPr>
        <w:t>项目实施过程中，深入贯彻落实“过紧日子”要求，将成本效益理念贯穿项目管理全过程。通过以下措施实现财政资金的节约高效使用：一是严格执行政府采购制度，规范采</w:t>
      </w:r>
      <w:r>
        <w:rPr>
          <w:rFonts w:ascii="Times New Roman" w:eastAsia="仿宋_GB2312" w:hAnsi="Times New Roman" w:hint="eastAsia"/>
          <w:bCs/>
          <w:sz w:val="32"/>
          <w:szCs w:val="32"/>
        </w:rPr>
        <w:lastRenderedPageBreak/>
        <w:t>购流程，确保采购质量与效益。二是优化资源配置，提高资金使用效率。经核查，所有项目实际支出均控制在预算范围内。</w:t>
      </w:r>
    </w:p>
    <w:p w:rsidR="0038608B" w:rsidRDefault="00FA51B8">
      <w:pPr>
        <w:snapToGrid w:val="0"/>
        <w:spacing w:line="580" w:lineRule="exact"/>
        <w:ind w:firstLineChars="200" w:firstLine="643"/>
        <w:outlineLvl w:val="1"/>
        <w:rPr>
          <w:rFonts w:ascii="楷体_GB2312" w:eastAsia="楷体_GB2312" w:hAnsi="楷体_GB2312" w:cs="楷体_GB2312"/>
          <w:b/>
          <w:sz w:val="32"/>
          <w:szCs w:val="32"/>
        </w:rPr>
      </w:pPr>
      <w:bookmarkStart w:id="10" w:name="_Toc106001812"/>
      <w:r>
        <w:rPr>
          <w:rFonts w:ascii="楷体_GB2312" w:eastAsia="楷体_GB2312" w:hAnsi="楷体_GB2312" w:cs="楷体_GB2312" w:hint="eastAsia"/>
          <w:b/>
          <w:sz w:val="32"/>
          <w:szCs w:val="32"/>
        </w:rPr>
        <w:t>（二）效果实现情况分析</w:t>
      </w:r>
      <w:bookmarkEnd w:id="10"/>
    </w:p>
    <w:p w:rsidR="0038608B" w:rsidRDefault="00FA51B8">
      <w:pPr>
        <w:snapToGrid w:val="0"/>
        <w:spacing w:line="580" w:lineRule="exact"/>
        <w:ind w:firstLineChars="200" w:firstLine="643"/>
        <w:outlineLvl w:val="1"/>
        <w:rPr>
          <w:rFonts w:ascii="Times New Roman" w:eastAsia="仿宋_GB2312" w:hAnsi="Times New Roman"/>
          <w:b/>
          <w:sz w:val="32"/>
          <w:szCs w:val="32"/>
        </w:rPr>
      </w:pPr>
      <w:bookmarkStart w:id="11" w:name="_Toc106001813"/>
      <w:r>
        <w:rPr>
          <w:rFonts w:ascii="Times New Roman" w:eastAsia="仿宋_GB2312" w:hAnsi="Times New Roman" w:hint="eastAsia"/>
          <w:b/>
          <w:sz w:val="32"/>
          <w:szCs w:val="32"/>
        </w:rPr>
        <w:t>1.</w:t>
      </w:r>
      <w:r>
        <w:rPr>
          <w:rFonts w:ascii="Times New Roman" w:eastAsia="仿宋_GB2312" w:hAnsi="Times New Roman" w:hint="eastAsia"/>
          <w:b/>
          <w:sz w:val="32"/>
          <w:szCs w:val="32"/>
        </w:rPr>
        <w:t>经济效益</w:t>
      </w:r>
    </w:p>
    <w:p w:rsidR="0038608B" w:rsidRDefault="00FA51B8">
      <w:pPr>
        <w:snapToGrid w:val="0"/>
        <w:spacing w:line="580" w:lineRule="exact"/>
        <w:ind w:firstLineChars="200" w:firstLine="640"/>
        <w:outlineLvl w:val="1"/>
        <w:rPr>
          <w:rFonts w:ascii="Times New Roman" w:eastAsia="仿宋_GB2312" w:hAnsi="Times New Roman"/>
          <w:bCs/>
          <w:sz w:val="32"/>
          <w:szCs w:val="32"/>
        </w:rPr>
      </w:pPr>
      <w:r>
        <w:rPr>
          <w:rFonts w:ascii="Times New Roman" w:eastAsia="仿宋_GB2312" w:hAnsi="Times New Roman" w:hint="eastAsia"/>
          <w:bCs/>
          <w:sz w:val="32"/>
          <w:szCs w:val="32"/>
        </w:rPr>
        <w:t>北京市地震局通过科学规划与高效管理，在经济效益方面取得成效：</w:t>
      </w:r>
      <w:r>
        <w:rPr>
          <w:rFonts w:ascii="Times New Roman" w:eastAsia="仿宋_GB2312" w:hAnsi="Times New Roman" w:hint="eastAsia"/>
          <w:b/>
          <w:sz w:val="32"/>
          <w:szCs w:val="32"/>
        </w:rPr>
        <w:t>一是</w:t>
      </w:r>
      <w:r>
        <w:rPr>
          <w:rFonts w:ascii="Times New Roman" w:eastAsia="仿宋_GB2312" w:hAnsi="Times New Roman" w:hint="eastAsia"/>
          <w:bCs/>
          <w:sz w:val="32"/>
          <w:szCs w:val="32"/>
        </w:rPr>
        <w:t>防灾减灾效益有所提升。依托地震监测预警和隐患排查机制，有效降低潜在灾害风险，减少因地震导致的直接经济损失，为首都经济社会稳定运行提供了重要保障。</w:t>
      </w:r>
      <w:r>
        <w:rPr>
          <w:rFonts w:ascii="Times New Roman" w:eastAsia="仿宋_GB2312" w:hAnsi="Times New Roman" w:hint="eastAsia"/>
          <w:b/>
          <w:sz w:val="32"/>
          <w:szCs w:val="32"/>
        </w:rPr>
        <w:t>二是</w:t>
      </w:r>
      <w:r>
        <w:rPr>
          <w:rFonts w:ascii="Times New Roman" w:eastAsia="仿宋_GB2312" w:hAnsi="Times New Roman" w:hint="eastAsia"/>
          <w:bCs/>
          <w:sz w:val="32"/>
          <w:szCs w:val="32"/>
        </w:rPr>
        <w:t>资源配置效率持续优化。部门预算执行规范，资金重点投向地震风险探查、政务云信息系统建设等领域，强化了技术支撑能力，避免重复投入，提高财政资金使用效益。</w:t>
      </w:r>
      <w:r>
        <w:rPr>
          <w:rFonts w:ascii="Times New Roman" w:eastAsia="仿宋_GB2312" w:hAnsi="Times New Roman" w:hint="eastAsia"/>
          <w:b/>
          <w:sz w:val="32"/>
          <w:szCs w:val="32"/>
        </w:rPr>
        <w:t>三是</w:t>
      </w:r>
      <w:r>
        <w:rPr>
          <w:rFonts w:ascii="Times New Roman" w:eastAsia="仿宋_GB2312" w:hAnsi="Times New Roman" w:hint="eastAsia"/>
          <w:bCs/>
          <w:sz w:val="32"/>
          <w:szCs w:val="32"/>
        </w:rPr>
        <w:t>社会成本有效节约。通过举办培训，组织防震减灾科普宣传活动和应急演练，增强了社会公众的防灾意识和自救能力，显著降低了灾后应急和重建的潜在成本。</w:t>
      </w:r>
    </w:p>
    <w:p w:rsidR="0038608B" w:rsidRDefault="00FA51B8">
      <w:pPr>
        <w:snapToGrid w:val="0"/>
        <w:spacing w:line="580" w:lineRule="exact"/>
        <w:ind w:firstLineChars="200" w:firstLine="643"/>
        <w:outlineLvl w:val="1"/>
        <w:rPr>
          <w:rFonts w:ascii="Times New Roman" w:eastAsia="仿宋_GB2312" w:hAnsi="Times New Roman"/>
          <w:b/>
          <w:sz w:val="32"/>
          <w:szCs w:val="32"/>
        </w:rPr>
      </w:pPr>
      <w:r>
        <w:rPr>
          <w:rFonts w:ascii="Times New Roman" w:eastAsia="仿宋_GB2312" w:hAnsi="Times New Roman" w:hint="eastAsia"/>
          <w:b/>
          <w:sz w:val="32"/>
          <w:szCs w:val="32"/>
        </w:rPr>
        <w:t>2.</w:t>
      </w:r>
      <w:r>
        <w:rPr>
          <w:rFonts w:ascii="Times New Roman" w:eastAsia="仿宋_GB2312" w:hAnsi="Times New Roman" w:hint="eastAsia"/>
          <w:b/>
          <w:sz w:val="32"/>
          <w:szCs w:val="32"/>
        </w:rPr>
        <w:t>社会效益</w:t>
      </w:r>
    </w:p>
    <w:p w:rsidR="0038608B" w:rsidRDefault="00FA51B8">
      <w:pPr>
        <w:snapToGrid w:val="0"/>
        <w:spacing w:line="580" w:lineRule="exact"/>
        <w:ind w:firstLineChars="200" w:firstLine="640"/>
        <w:outlineLvl w:val="1"/>
        <w:rPr>
          <w:rFonts w:ascii="Times New Roman" w:eastAsia="仿宋_GB2312" w:hAnsi="Times New Roman"/>
          <w:bCs/>
          <w:sz w:val="32"/>
          <w:szCs w:val="32"/>
        </w:rPr>
      </w:pPr>
      <w:r>
        <w:rPr>
          <w:rFonts w:ascii="Times New Roman" w:eastAsia="仿宋_GB2312" w:hAnsi="Times New Roman" w:hint="eastAsia"/>
          <w:bCs/>
          <w:sz w:val="32"/>
          <w:szCs w:val="32"/>
        </w:rPr>
        <w:t>北京市地震局在提升公众防灾意识、完善城市安全体系、强化应急服务能力等方面社会效益突出，具体表现在：</w:t>
      </w:r>
    </w:p>
    <w:p w:rsidR="0038608B" w:rsidRDefault="00FA51B8">
      <w:pPr>
        <w:snapToGrid w:val="0"/>
        <w:spacing w:line="580" w:lineRule="exact"/>
        <w:ind w:firstLineChars="200" w:firstLine="640"/>
        <w:outlineLvl w:val="1"/>
        <w:rPr>
          <w:rFonts w:ascii="Times New Roman" w:eastAsia="仿宋_GB2312" w:hAnsi="Times New Roman"/>
          <w:bCs/>
          <w:sz w:val="32"/>
          <w:szCs w:val="32"/>
        </w:rPr>
      </w:pPr>
      <w:r>
        <w:rPr>
          <w:rFonts w:ascii="Times New Roman" w:eastAsia="仿宋_GB2312" w:hAnsi="Times New Roman" w:hint="eastAsia"/>
          <w:bCs/>
          <w:sz w:val="32"/>
          <w:szCs w:val="32"/>
        </w:rPr>
        <w:t>（</w:t>
      </w:r>
      <w:r>
        <w:rPr>
          <w:rFonts w:ascii="Times New Roman" w:eastAsia="仿宋_GB2312" w:hAnsi="Times New Roman" w:hint="eastAsia"/>
          <w:bCs/>
          <w:sz w:val="32"/>
          <w:szCs w:val="32"/>
        </w:rPr>
        <w:t>1</w:t>
      </w:r>
      <w:r>
        <w:rPr>
          <w:rFonts w:ascii="Times New Roman" w:eastAsia="仿宋_GB2312" w:hAnsi="Times New Roman" w:hint="eastAsia"/>
          <w:bCs/>
          <w:sz w:val="32"/>
          <w:szCs w:val="32"/>
        </w:rPr>
        <w:t>）科普宣传成效显著。北京市地震局全年开展线上线下科普活动共计覆盖</w:t>
      </w:r>
      <w:r>
        <w:rPr>
          <w:rFonts w:ascii="Times New Roman" w:eastAsia="仿宋_GB2312" w:hAnsi="Times New Roman" w:hint="eastAsia"/>
          <w:bCs/>
          <w:sz w:val="32"/>
          <w:szCs w:val="32"/>
        </w:rPr>
        <w:t>410</w:t>
      </w:r>
      <w:r>
        <w:rPr>
          <w:rFonts w:ascii="Times New Roman" w:eastAsia="仿宋_GB2312" w:hAnsi="Times New Roman" w:hint="eastAsia"/>
          <w:bCs/>
          <w:sz w:val="32"/>
          <w:szCs w:val="32"/>
        </w:rPr>
        <w:t>万人次，活动媒体报道</w:t>
      </w:r>
      <w:r>
        <w:rPr>
          <w:rFonts w:ascii="Times New Roman" w:eastAsia="仿宋_GB2312" w:hAnsi="Times New Roman" w:hint="eastAsia"/>
          <w:bCs/>
          <w:sz w:val="32"/>
          <w:szCs w:val="32"/>
        </w:rPr>
        <w:t>23</w:t>
      </w:r>
      <w:r>
        <w:rPr>
          <w:rFonts w:ascii="Times New Roman" w:eastAsia="仿宋_GB2312" w:hAnsi="Times New Roman" w:hint="eastAsia"/>
          <w:bCs/>
          <w:sz w:val="32"/>
          <w:szCs w:val="32"/>
        </w:rPr>
        <w:t>次，超额完成年度目标；组织多场大型网络直播科普活动，点击观看量总计接近</w:t>
      </w:r>
      <w:r>
        <w:rPr>
          <w:rFonts w:ascii="Times New Roman" w:eastAsia="仿宋_GB2312" w:hAnsi="Times New Roman" w:hint="eastAsia"/>
          <w:bCs/>
          <w:sz w:val="32"/>
          <w:szCs w:val="32"/>
        </w:rPr>
        <w:t>2.1</w:t>
      </w:r>
      <w:r>
        <w:rPr>
          <w:rFonts w:ascii="Times New Roman" w:eastAsia="仿宋_GB2312" w:hAnsi="Times New Roman" w:hint="eastAsia"/>
          <w:bCs/>
          <w:sz w:val="32"/>
          <w:szCs w:val="32"/>
        </w:rPr>
        <w:t>亿人次；</w:t>
      </w:r>
      <w:proofErr w:type="gramStart"/>
      <w:r>
        <w:rPr>
          <w:rFonts w:ascii="Times New Roman" w:eastAsia="仿宋_GB2312" w:hAnsi="Times New Roman" w:hint="eastAsia"/>
          <w:bCs/>
          <w:sz w:val="32"/>
          <w:szCs w:val="32"/>
        </w:rPr>
        <w:t>原创近</w:t>
      </w:r>
      <w:proofErr w:type="gramEnd"/>
      <w:r>
        <w:rPr>
          <w:rFonts w:ascii="Times New Roman" w:eastAsia="仿宋_GB2312" w:hAnsi="Times New Roman" w:hint="eastAsia"/>
          <w:bCs/>
          <w:sz w:val="32"/>
          <w:szCs w:val="32"/>
        </w:rPr>
        <w:t>百部图文和</w:t>
      </w:r>
      <w:proofErr w:type="gramStart"/>
      <w:r>
        <w:rPr>
          <w:rFonts w:ascii="Times New Roman" w:eastAsia="仿宋_GB2312" w:hAnsi="Times New Roman" w:hint="eastAsia"/>
          <w:bCs/>
          <w:sz w:val="32"/>
          <w:szCs w:val="32"/>
        </w:rPr>
        <w:t>音视</w:t>
      </w:r>
      <w:proofErr w:type="gramEnd"/>
      <w:r>
        <w:rPr>
          <w:rFonts w:ascii="Times New Roman" w:eastAsia="仿宋_GB2312" w:hAnsi="Times New Roman" w:hint="eastAsia"/>
          <w:bCs/>
          <w:sz w:val="32"/>
          <w:szCs w:val="32"/>
        </w:rPr>
        <w:t>频等</w:t>
      </w:r>
      <w:proofErr w:type="gramStart"/>
      <w:r>
        <w:rPr>
          <w:rFonts w:ascii="Times New Roman" w:eastAsia="仿宋_GB2312" w:hAnsi="Times New Roman" w:hint="eastAsia"/>
          <w:bCs/>
          <w:sz w:val="32"/>
          <w:szCs w:val="32"/>
        </w:rPr>
        <w:t>融媒</w:t>
      </w:r>
      <w:proofErr w:type="gramEnd"/>
      <w:r>
        <w:rPr>
          <w:rFonts w:ascii="Times New Roman" w:eastAsia="仿宋_GB2312" w:hAnsi="Times New Roman" w:hint="eastAsia"/>
          <w:bCs/>
          <w:sz w:val="32"/>
          <w:szCs w:val="32"/>
        </w:rPr>
        <w:t>体产品，局属新</w:t>
      </w:r>
      <w:proofErr w:type="gramStart"/>
      <w:r>
        <w:rPr>
          <w:rFonts w:ascii="Times New Roman" w:eastAsia="仿宋_GB2312" w:hAnsi="Times New Roman" w:hint="eastAsia"/>
          <w:bCs/>
          <w:sz w:val="32"/>
          <w:szCs w:val="32"/>
        </w:rPr>
        <w:t>媒体</w:t>
      </w:r>
      <w:proofErr w:type="gramEnd"/>
      <w:r>
        <w:rPr>
          <w:rFonts w:ascii="Times New Roman" w:eastAsia="仿宋_GB2312" w:hAnsi="Times New Roman" w:hint="eastAsia"/>
          <w:bCs/>
          <w:sz w:val="32"/>
          <w:szCs w:val="32"/>
        </w:rPr>
        <w:t>号和地震系统</w:t>
      </w:r>
      <w:proofErr w:type="gramStart"/>
      <w:r>
        <w:rPr>
          <w:rFonts w:ascii="Times New Roman" w:eastAsia="仿宋_GB2312" w:hAnsi="Times New Roman" w:hint="eastAsia"/>
          <w:bCs/>
          <w:sz w:val="32"/>
          <w:szCs w:val="32"/>
        </w:rPr>
        <w:t>融媒体号</w:t>
      </w:r>
      <w:proofErr w:type="gramEnd"/>
      <w:r>
        <w:rPr>
          <w:rFonts w:ascii="Times New Roman" w:eastAsia="仿宋_GB2312" w:hAnsi="Times New Roman" w:hint="eastAsia"/>
          <w:bCs/>
          <w:sz w:val="32"/>
          <w:szCs w:val="32"/>
        </w:rPr>
        <w:t>共发布各类信</w:t>
      </w:r>
      <w:r>
        <w:rPr>
          <w:rFonts w:ascii="Times New Roman" w:eastAsia="仿宋_GB2312" w:hAnsi="Times New Roman" w:hint="eastAsia"/>
          <w:bCs/>
          <w:sz w:val="32"/>
          <w:szCs w:val="32"/>
        </w:rPr>
        <w:lastRenderedPageBreak/>
        <w:t>息</w:t>
      </w:r>
      <w:r>
        <w:rPr>
          <w:rFonts w:ascii="Times New Roman" w:eastAsia="仿宋_GB2312" w:hAnsi="Times New Roman" w:hint="eastAsia"/>
          <w:bCs/>
          <w:sz w:val="32"/>
          <w:szCs w:val="32"/>
        </w:rPr>
        <w:t>4700</w:t>
      </w:r>
      <w:r>
        <w:rPr>
          <w:rFonts w:ascii="Times New Roman" w:eastAsia="仿宋_GB2312" w:hAnsi="Times New Roman" w:hint="eastAsia"/>
          <w:bCs/>
          <w:sz w:val="32"/>
          <w:szCs w:val="32"/>
        </w:rPr>
        <w:t>余条，阅读量超过</w:t>
      </w:r>
      <w:r>
        <w:rPr>
          <w:rFonts w:ascii="Times New Roman" w:eastAsia="仿宋_GB2312" w:hAnsi="Times New Roman" w:hint="eastAsia"/>
          <w:bCs/>
          <w:sz w:val="32"/>
          <w:szCs w:val="32"/>
        </w:rPr>
        <w:t>3300</w:t>
      </w:r>
      <w:r>
        <w:rPr>
          <w:rFonts w:ascii="Times New Roman" w:eastAsia="仿宋_GB2312" w:hAnsi="Times New Roman" w:hint="eastAsia"/>
          <w:bCs/>
          <w:sz w:val="32"/>
          <w:szCs w:val="32"/>
        </w:rPr>
        <w:t>万次。</w:t>
      </w:r>
    </w:p>
    <w:p w:rsidR="0038608B" w:rsidRDefault="00FA51B8">
      <w:pPr>
        <w:snapToGrid w:val="0"/>
        <w:spacing w:line="580" w:lineRule="exact"/>
        <w:ind w:firstLineChars="200" w:firstLine="640"/>
        <w:outlineLvl w:val="1"/>
        <w:rPr>
          <w:rFonts w:ascii="Times New Roman" w:eastAsia="仿宋_GB2312" w:hAnsi="Times New Roman"/>
          <w:bCs/>
          <w:sz w:val="32"/>
          <w:szCs w:val="32"/>
        </w:rPr>
      </w:pPr>
      <w:r>
        <w:rPr>
          <w:rFonts w:ascii="Times New Roman" w:eastAsia="仿宋_GB2312" w:hAnsi="Times New Roman" w:hint="eastAsia"/>
          <w:bCs/>
          <w:sz w:val="32"/>
          <w:szCs w:val="32"/>
        </w:rPr>
        <w:t>（</w:t>
      </w:r>
      <w:r>
        <w:rPr>
          <w:rFonts w:ascii="Times New Roman" w:eastAsia="仿宋_GB2312" w:hAnsi="Times New Roman" w:hint="eastAsia"/>
          <w:bCs/>
          <w:sz w:val="32"/>
          <w:szCs w:val="32"/>
        </w:rPr>
        <w:t>2</w:t>
      </w:r>
      <w:r>
        <w:rPr>
          <w:rFonts w:ascii="Times New Roman" w:eastAsia="仿宋_GB2312" w:hAnsi="Times New Roman" w:hint="eastAsia"/>
          <w:bCs/>
          <w:sz w:val="32"/>
          <w:szCs w:val="32"/>
        </w:rPr>
        <w:t>）灾害预防体系持续完善。</w:t>
      </w:r>
      <w:r>
        <w:rPr>
          <w:rFonts w:ascii="Times New Roman" w:eastAsia="仿宋_GB2312" w:hAnsi="Times New Roman" w:hint="eastAsia"/>
          <w:b/>
          <w:sz w:val="32"/>
          <w:szCs w:val="32"/>
        </w:rPr>
        <w:t>风险评估方面：</w:t>
      </w:r>
      <w:r>
        <w:rPr>
          <w:rFonts w:ascii="Times New Roman" w:eastAsia="仿宋_GB2312" w:hAnsi="Times New Roman" w:hint="eastAsia"/>
          <w:bCs/>
          <w:sz w:val="32"/>
          <w:szCs w:val="32"/>
        </w:rPr>
        <w:t>完成房屋建筑隐患评估工作。按照</w:t>
      </w:r>
      <w:proofErr w:type="gramStart"/>
      <w:r>
        <w:rPr>
          <w:rFonts w:ascii="Times New Roman" w:eastAsia="仿宋_GB2312" w:hAnsi="Times New Roman" w:hint="eastAsia"/>
          <w:bCs/>
          <w:sz w:val="32"/>
          <w:szCs w:val="32"/>
        </w:rPr>
        <w:t>国抗办有关</w:t>
      </w:r>
      <w:proofErr w:type="gramEnd"/>
      <w:r>
        <w:rPr>
          <w:rFonts w:ascii="Times New Roman" w:eastAsia="仿宋_GB2312" w:hAnsi="Times New Roman" w:hint="eastAsia"/>
          <w:bCs/>
          <w:sz w:val="32"/>
          <w:szCs w:val="32"/>
        </w:rPr>
        <w:t>要求和北京市委、市政府相关指示，完成</w:t>
      </w:r>
      <w:r w:rsidR="006D63DE">
        <w:rPr>
          <w:rFonts w:ascii="Times New Roman" w:eastAsia="仿宋_GB2312" w:hAnsi="Times New Roman" w:hint="eastAsia"/>
          <w:bCs/>
          <w:sz w:val="32"/>
          <w:szCs w:val="32"/>
        </w:rPr>
        <w:t>相关区域</w:t>
      </w:r>
      <w:r>
        <w:rPr>
          <w:rFonts w:ascii="Times New Roman" w:eastAsia="仿宋_GB2312" w:hAnsi="Times New Roman" w:hint="eastAsia"/>
          <w:bCs/>
          <w:sz w:val="32"/>
          <w:szCs w:val="32"/>
        </w:rPr>
        <w:t>房屋建筑的地震灾害隐患评估工作，形成北京市房屋建筑地震灾害隐患数据库、房屋建筑地震灾害隐患数据清单、区级房屋建筑地震灾害隐患等级分布图和房屋建筑地震灾害隐患评估技术报告，针对北京市房屋建筑地震灾害隐患评估结果，提出针对性的隐患治理对策建议，得到技术审查专家的高度评价。</w:t>
      </w:r>
      <w:r>
        <w:rPr>
          <w:rFonts w:ascii="Times New Roman" w:eastAsia="仿宋_GB2312" w:hAnsi="Times New Roman" w:hint="eastAsia"/>
          <w:b/>
          <w:sz w:val="32"/>
          <w:szCs w:val="32"/>
        </w:rPr>
        <w:t>工作部署方面：</w:t>
      </w:r>
      <w:r>
        <w:rPr>
          <w:rFonts w:ascii="Times New Roman" w:eastAsia="仿宋_GB2312" w:hAnsi="Times New Roman" w:hint="eastAsia"/>
          <w:bCs/>
          <w:sz w:val="32"/>
          <w:szCs w:val="32"/>
        </w:rPr>
        <w:t>印发《北京市</w:t>
      </w:r>
      <w:r>
        <w:rPr>
          <w:rFonts w:ascii="Times New Roman" w:eastAsia="仿宋_GB2312" w:hAnsi="Times New Roman" w:hint="eastAsia"/>
          <w:bCs/>
          <w:sz w:val="32"/>
          <w:szCs w:val="32"/>
        </w:rPr>
        <w:t>2024</w:t>
      </w:r>
      <w:r>
        <w:rPr>
          <w:rFonts w:ascii="Times New Roman" w:eastAsia="仿宋_GB2312" w:hAnsi="Times New Roman" w:hint="eastAsia"/>
          <w:bCs/>
          <w:sz w:val="32"/>
          <w:szCs w:val="32"/>
        </w:rPr>
        <w:t>年防震减灾重点任务清单》和《</w:t>
      </w:r>
      <w:r>
        <w:rPr>
          <w:rFonts w:ascii="Times New Roman" w:eastAsia="仿宋_GB2312" w:hAnsi="Times New Roman" w:hint="eastAsia"/>
          <w:bCs/>
          <w:sz w:val="32"/>
          <w:szCs w:val="32"/>
        </w:rPr>
        <w:t>2024</w:t>
      </w:r>
      <w:r>
        <w:rPr>
          <w:rFonts w:ascii="Times New Roman" w:eastAsia="仿宋_GB2312" w:hAnsi="Times New Roman" w:hint="eastAsia"/>
          <w:bCs/>
          <w:sz w:val="32"/>
          <w:szCs w:val="32"/>
        </w:rPr>
        <w:t>年防震减灾和抗震救灾工作要点》；召开北京市防震减灾会议，贯彻落实年度国务院防震减灾工作联席会议、全国地震局长会和市防震抗震工作领导小组会议精神，交流</w:t>
      </w:r>
      <w:proofErr w:type="gramStart"/>
      <w:r>
        <w:rPr>
          <w:rFonts w:ascii="Times New Roman" w:eastAsia="仿宋_GB2312" w:hAnsi="Times New Roman" w:hint="eastAsia"/>
          <w:bCs/>
          <w:sz w:val="32"/>
          <w:szCs w:val="32"/>
        </w:rPr>
        <w:t>研讨区</w:t>
      </w:r>
      <w:proofErr w:type="gramEnd"/>
      <w:r>
        <w:rPr>
          <w:rFonts w:ascii="Times New Roman" w:eastAsia="仿宋_GB2312" w:hAnsi="Times New Roman" w:hint="eastAsia"/>
          <w:bCs/>
          <w:sz w:val="32"/>
          <w:szCs w:val="32"/>
        </w:rPr>
        <w:t>防震减灾工作，部署年度全市防震减灾工作重点，扎实推进全市防震减灾工作的开展；圆满完成</w:t>
      </w:r>
      <w:r w:rsidR="00CF2F75">
        <w:rPr>
          <w:rFonts w:ascii="Times New Roman" w:eastAsia="仿宋_GB2312" w:hAnsi="Times New Roman" w:hint="eastAsia"/>
          <w:bCs/>
          <w:sz w:val="32"/>
          <w:szCs w:val="32"/>
        </w:rPr>
        <w:t>重要时段</w:t>
      </w:r>
      <w:r>
        <w:rPr>
          <w:rFonts w:ascii="Times New Roman" w:eastAsia="仿宋_GB2312" w:hAnsi="Times New Roman" w:hint="eastAsia"/>
          <w:bCs/>
          <w:sz w:val="32"/>
          <w:szCs w:val="32"/>
        </w:rPr>
        <w:t>地震安保服务工作。</w:t>
      </w:r>
      <w:r>
        <w:rPr>
          <w:rFonts w:ascii="Times New Roman" w:eastAsia="仿宋_GB2312" w:hAnsi="Times New Roman" w:hint="eastAsia"/>
          <w:b/>
          <w:sz w:val="32"/>
          <w:szCs w:val="32"/>
        </w:rPr>
        <w:t>监测能力建设方面：</w:t>
      </w:r>
      <w:r>
        <w:rPr>
          <w:rFonts w:ascii="Times New Roman" w:eastAsia="仿宋_GB2312" w:hAnsi="Times New Roman" w:hint="eastAsia"/>
          <w:bCs/>
          <w:sz w:val="32"/>
          <w:szCs w:val="32"/>
        </w:rPr>
        <w:t>2024</w:t>
      </w:r>
      <w:r>
        <w:rPr>
          <w:rFonts w:ascii="Times New Roman" w:eastAsia="仿宋_GB2312" w:hAnsi="Times New Roman" w:hint="eastAsia"/>
          <w:bCs/>
          <w:sz w:val="32"/>
          <w:szCs w:val="32"/>
        </w:rPr>
        <w:t>年度新建</w:t>
      </w:r>
      <w:r>
        <w:rPr>
          <w:rFonts w:ascii="Times New Roman" w:eastAsia="仿宋_GB2312" w:hAnsi="Times New Roman" w:hint="eastAsia"/>
          <w:bCs/>
          <w:sz w:val="32"/>
          <w:szCs w:val="32"/>
        </w:rPr>
        <w:t>5</w:t>
      </w:r>
      <w:r>
        <w:rPr>
          <w:rFonts w:ascii="Times New Roman" w:eastAsia="仿宋_GB2312" w:hAnsi="Times New Roman" w:hint="eastAsia"/>
          <w:bCs/>
          <w:sz w:val="32"/>
          <w:szCs w:val="32"/>
        </w:rPr>
        <w:t>个监测台站，监测台网规模扩大；每周召开震情监视例会，使用项目产出的数据分析</w:t>
      </w:r>
      <w:proofErr w:type="gramStart"/>
      <w:r>
        <w:rPr>
          <w:rFonts w:ascii="Times New Roman" w:eastAsia="仿宋_GB2312" w:hAnsi="Times New Roman" w:hint="eastAsia"/>
          <w:bCs/>
          <w:sz w:val="32"/>
          <w:szCs w:val="32"/>
        </w:rPr>
        <w:t>研</w:t>
      </w:r>
      <w:proofErr w:type="gramEnd"/>
      <w:r>
        <w:rPr>
          <w:rFonts w:ascii="Times New Roman" w:eastAsia="仿宋_GB2312" w:hAnsi="Times New Roman" w:hint="eastAsia"/>
          <w:bCs/>
          <w:sz w:val="32"/>
          <w:szCs w:val="32"/>
        </w:rPr>
        <w:t>判震情；</w:t>
      </w:r>
      <w:r>
        <w:rPr>
          <w:rFonts w:ascii="Times New Roman" w:eastAsia="仿宋_GB2312" w:hAnsi="Times New Roman" w:hint="eastAsia"/>
          <w:bCs/>
          <w:sz w:val="32"/>
          <w:szCs w:val="32"/>
        </w:rPr>
        <w:t>2024</w:t>
      </w:r>
      <w:r>
        <w:rPr>
          <w:rFonts w:ascii="Times New Roman" w:eastAsia="仿宋_GB2312" w:hAnsi="Times New Roman" w:hint="eastAsia"/>
          <w:bCs/>
          <w:sz w:val="32"/>
          <w:szCs w:val="32"/>
        </w:rPr>
        <w:t>年每月向</w:t>
      </w:r>
      <w:proofErr w:type="gramStart"/>
      <w:r>
        <w:rPr>
          <w:rFonts w:ascii="Times New Roman" w:eastAsia="仿宋_GB2312" w:hAnsi="Times New Roman" w:hint="eastAsia"/>
          <w:bCs/>
          <w:sz w:val="32"/>
          <w:szCs w:val="32"/>
        </w:rPr>
        <w:t>应急局</w:t>
      </w:r>
      <w:proofErr w:type="gramEnd"/>
      <w:r>
        <w:rPr>
          <w:rFonts w:ascii="Times New Roman" w:eastAsia="仿宋_GB2312" w:hAnsi="Times New Roman" w:hint="eastAsia"/>
          <w:bCs/>
          <w:sz w:val="32"/>
          <w:szCs w:val="32"/>
        </w:rPr>
        <w:t>报送地震风险形势报告，每季度报送季度分析报告，向中国地震台网中心报送《</w:t>
      </w:r>
      <w:r>
        <w:rPr>
          <w:rFonts w:ascii="Times New Roman" w:eastAsia="仿宋_GB2312" w:hAnsi="Times New Roman" w:hint="eastAsia"/>
          <w:bCs/>
          <w:sz w:val="32"/>
          <w:szCs w:val="32"/>
        </w:rPr>
        <w:t>2025</w:t>
      </w:r>
      <w:r>
        <w:rPr>
          <w:rFonts w:ascii="Times New Roman" w:eastAsia="仿宋_GB2312" w:hAnsi="Times New Roman" w:hint="eastAsia"/>
          <w:bCs/>
          <w:sz w:val="32"/>
          <w:szCs w:val="32"/>
        </w:rPr>
        <w:t>年度北京市地震趋势研究报告》，</w:t>
      </w:r>
      <w:r>
        <w:rPr>
          <w:rFonts w:ascii="Times New Roman" w:eastAsia="仿宋_GB2312" w:hAnsi="Times New Roman" w:hint="eastAsia"/>
          <w:bCs/>
          <w:sz w:val="32"/>
          <w:szCs w:val="32"/>
        </w:rPr>
        <w:t>2024</w:t>
      </w:r>
      <w:r>
        <w:rPr>
          <w:rFonts w:ascii="Times New Roman" w:eastAsia="仿宋_GB2312" w:hAnsi="Times New Roman" w:hint="eastAsia"/>
          <w:bCs/>
          <w:sz w:val="32"/>
          <w:szCs w:val="32"/>
        </w:rPr>
        <w:t>年地震趋势</w:t>
      </w:r>
      <w:proofErr w:type="gramStart"/>
      <w:r>
        <w:rPr>
          <w:rFonts w:ascii="Times New Roman" w:eastAsia="仿宋_GB2312" w:hAnsi="Times New Roman" w:hint="eastAsia"/>
          <w:bCs/>
          <w:sz w:val="32"/>
          <w:szCs w:val="32"/>
        </w:rPr>
        <w:t>研判基</w:t>
      </w:r>
      <w:proofErr w:type="gramEnd"/>
      <w:r>
        <w:rPr>
          <w:rFonts w:ascii="Times New Roman" w:eastAsia="仿宋_GB2312" w:hAnsi="Times New Roman" w:hint="eastAsia"/>
          <w:bCs/>
          <w:sz w:val="32"/>
          <w:szCs w:val="32"/>
        </w:rPr>
        <w:t>本准确。</w:t>
      </w:r>
    </w:p>
    <w:p w:rsidR="0038608B" w:rsidRDefault="00FA51B8">
      <w:pPr>
        <w:snapToGrid w:val="0"/>
        <w:spacing w:line="580" w:lineRule="exact"/>
        <w:ind w:firstLineChars="200" w:firstLine="640"/>
        <w:outlineLvl w:val="1"/>
        <w:rPr>
          <w:rFonts w:ascii="Times New Roman" w:eastAsia="仿宋_GB2312" w:hAnsi="Times New Roman"/>
          <w:bCs/>
          <w:sz w:val="32"/>
          <w:szCs w:val="32"/>
        </w:rPr>
      </w:pPr>
      <w:r>
        <w:rPr>
          <w:rFonts w:ascii="Times New Roman" w:eastAsia="仿宋_GB2312" w:hAnsi="Times New Roman" w:hint="eastAsia"/>
          <w:bCs/>
          <w:sz w:val="32"/>
          <w:szCs w:val="32"/>
        </w:rPr>
        <w:t>（</w:t>
      </w:r>
      <w:r>
        <w:rPr>
          <w:rFonts w:ascii="Times New Roman" w:eastAsia="仿宋_GB2312" w:hAnsi="Times New Roman" w:hint="eastAsia"/>
          <w:bCs/>
          <w:sz w:val="32"/>
          <w:szCs w:val="32"/>
        </w:rPr>
        <w:t>3</w:t>
      </w:r>
      <w:r>
        <w:rPr>
          <w:rFonts w:ascii="Times New Roman" w:eastAsia="仿宋_GB2312" w:hAnsi="Times New Roman" w:hint="eastAsia"/>
          <w:bCs/>
          <w:sz w:val="32"/>
          <w:szCs w:val="32"/>
        </w:rPr>
        <w:t>）监测服务能力全面提升。北京市地震局通过构建“光纤</w:t>
      </w:r>
      <w:r>
        <w:rPr>
          <w:rFonts w:ascii="Times New Roman" w:eastAsia="仿宋_GB2312" w:hAnsi="Times New Roman" w:hint="eastAsia"/>
          <w:bCs/>
          <w:sz w:val="32"/>
          <w:szCs w:val="32"/>
        </w:rPr>
        <w:t>+</w:t>
      </w:r>
      <w:r>
        <w:rPr>
          <w:rFonts w:ascii="Times New Roman" w:eastAsia="仿宋_GB2312" w:hAnsi="Times New Roman" w:hint="eastAsia"/>
          <w:bCs/>
          <w:sz w:val="32"/>
          <w:szCs w:val="32"/>
        </w:rPr>
        <w:t>卫星”双冗余通信网络，保证地震监测预警、预测</w:t>
      </w:r>
      <w:r>
        <w:rPr>
          <w:rFonts w:ascii="Times New Roman" w:eastAsia="仿宋_GB2312" w:hAnsi="Times New Roman" w:hint="eastAsia"/>
          <w:bCs/>
          <w:sz w:val="32"/>
          <w:szCs w:val="32"/>
        </w:rPr>
        <w:lastRenderedPageBreak/>
        <w:t>预报、风险探查、地震应急等系统的有效运行，持续强化监测服务体系建设，促进北京地区防灾减灾能力提升。</w:t>
      </w:r>
    </w:p>
    <w:p w:rsidR="0038608B" w:rsidRDefault="00FA51B8">
      <w:pPr>
        <w:snapToGrid w:val="0"/>
        <w:spacing w:line="580" w:lineRule="exact"/>
        <w:ind w:firstLineChars="200" w:firstLine="643"/>
        <w:outlineLvl w:val="1"/>
        <w:rPr>
          <w:rFonts w:ascii="Times New Roman" w:eastAsia="仿宋_GB2312" w:hAnsi="Times New Roman"/>
          <w:b/>
          <w:sz w:val="32"/>
          <w:szCs w:val="32"/>
        </w:rPr>
      </w:pPr>
      <w:r>
        <w:rPr>
          <w:rFonts w:ascii="Times New Roman" w:eastAsia="仿宋_GB2312" w:hAnsi="Times New Roman" w:hint="eastAsia"/>
          <w:b/>
          <w:sz w:val="32"/>
          <w:szCs w:val="32"/>
        </w:rPr>
        <w:t>3.</w:t>
      </w:r>
      <w:r>
        <w:rPr>
          <w:rFonts w:ascii="Times New Roman" w:eastAsia="仿宋_GB2312" w:hAnsi="Times New Roman" w:hint="eastAsia"/>
          <w:b/>
          <w:sz w:val="32"/>
          <w:szCs w:val="32"/>
        </w:rPr>
        <w:t>环境效益</w:t>
      </w:r>
    </w:p>
    <w:p w:rsidR="0038608B" w:rsidRDefault="00FA51B8">
      <w:pPr>
        <w:snapToGrid w:val="0"/>
        <w:spacing w:line="580" w:lineRule="exact"/>
        <w:ind w:firstLineChars="200" w:firstLine="640"/>
        <w:outlineLvl w:val="1"/>
        <w:rPr>
          <w:rFonts w:ascii="Times New Roman" w:eastAsia="仿宋_GB2312" w:hAnsi="Times New Roman"/>
          <w:bCs/>
          <w:sz w:val="32"/>
          <w:szCs w:val="32"/>
        </w:rPr>
      </w:pPr>
      <w:r>
        <w:rPr>
          <w:rFonts w:ascii="Times New Roman" w:eastAsia="仿宋_GB2312" w:hAnsi="Times New Roman" w:hint="eastAsia"/>
          <w:bCs/>
          <w:sz w:val="32"/>
          <w:szCs w:val="32"/>
        </w:rPr>
        <w:t>通过持续优化地震预警系统，提升地震灾害防范能力，北京市地震</w:t>
      </w:r>
      <w:proofErr w:type="gramStart"/>
      <w:r>
        <w:rPr>
          <w:rFonts w:ascii="Times New Roman" w:eastAsia="仿宋_GB2312" w:hAnsi="Times New Roman" w:hint="eastAsia"/>
          <w:bCs/>
          <w:sz w:val="32"/>
          <w:szCs w:val="32"/>
        </w:rPr>
        <w:t>局有效</w:t>
      </w:r>
      <w:proofErr w:type="gramEnd"/>
      <w:r>
        <w:rPr>
          <w:rFonts w:ascii="Times New Roman" w:eastAsia="仿宋_GB2312" w:hAnsi="Times New Roman" w:hint="eastAsia"/>
          <w:bCs/>
          <w:sz w:val="32"/>
          <w:szCs w:val="32"/>
        </w:rPr>
        <w:t>预防因地震次生灾害引发的各类环境污染事件，如减少因地震导致的建筑物损毁、基础设施破坏带来的环境污染、固体废弃物形成的生态损害。同时，通过及时准确的地震信息发布与应急指挥，增强公众防灾减灾意识，助力城市生态环境与社会秩序的稳定，为首都生态文明建设</w:t>
      </w:r>
      <w:proofErr w:type="gramStart"/>
      <w:r>
        <w:rPr>
          <w:rFonts w:ascii="Times New Roman" w:eastAsia="仿宋_GB2312" w:hAnsi="Times New Roman" w:hint="eastAsia"/>
          <w:bCs/>
          <w:sz w:val="32"/>
          <w:szCs w:val="32"/>
        </w:rPr>
        <w:t>作出</w:t>
      </w:r>
      <w:proofErr w:type="gramEnd"/>
      <w:r>
        <w:rPr>
          <w:rFonts w:ascii="Times New Roman" w:eastAsia="仿宋_GB2312" w:hAnsi="Times New Roman" w:hint="eastAsia"/>
          <w:bCs/>
          <w:sz w:val="32"/>
          <w:szCs w:val="32"/>
        </w:rPr>
        <w:t>积极贡献。</w:t>
      </w:r>
    </w:p>
    <w:p w:rsidR="0038608B" w:rsidRDefault="00FA51B8">
      <w:pPr>
        <w:snapToGrid w:val="0"/>
        <w:spacing w:line="580" w:lineRule="exact"/>
        <w:ind w:firstLineChars="200" w:firstLine="643"/>
        <w:outlineLvl w:val="1"/>
        <w:rPr>
          <w:rFonts w:ascii="Times New Roman" w:eastAsia="仿宋_GB2312" w:hAnsi="Times New Roman"/>
          <w:b/>
          <w:sz w:val="32"/>
          <w:szCs w:val="32"/>
        </w:rPr>
      </w:pPr>
      <w:r>
        <w:rPr>
          <w:rFonts w:ascii="Times New Roman" w:eastAsia="仿宋_GB2312" w:hAnsi="Times New Roman" w:hint="eastAsia"/>
          <w:b/>
          <w:sz w:val="32"/>
          <w:szCs w:val="32"/>
        </w:rPr>
        <w:t>4.</w:t>
      </w:r>
      <w:r>
        <w:rPr>
          <w:rFonts w:ascii="Times New Roman" w:eastAsia="仿宋_GB2312" w:hAnsi="Times New Roman" w:hint="eastAsia"/>
          <w:b/>
          <w:sz w:val="32"/>
          <w:szCs w:val="32"/>
        </w:rPr>
        <w:t>可持续性影响</w:t>
      </w:r>
    </w:p>
    <w:p w:rsidR="0038608B" w:rsidRDefault="00FA51B8">
      <w:pPr>
        <w:snapToGrid w:val="0"/>
        <w:spacing w:line="580" w:lineRule="exact"/>
        <w:ind w:firstLineChars="200" w:firstLine="640"/>
        <w:outlineLvl w:val="1"/>
        <w:rPr>
          <w:rFonts w:ascii="Times New Roman" w:eastAsia="仿宋_GB2312" w:hAnsi="Times New Roman"/>
          <w:bCs/>
          <w:sz w:val="32"/>
          <w:szCs w:val="32"/>
        </w:rPr>
      </w:pPr>
      <w:r>
        <w:rPr>
          <w:rFonts w:ascii="Times New Roman" w:eastAsia="仿宋_GB2312" w:hAnsi="Times New Roman" w:hint="eastAsia"/>
          <w:bCs/>
          <w:sz w:val="32"/>
          <w:szCs w:val="32"/>
        </w:rPr>
        <w:t>北京市地震局通过制度建设、技术创新、设施优化和社会协同，构建了多维度的防震减灾可持续发展体系，对提升首都长期抗震防灾能力具有深远影响，具体体现在：</w:t>
      </w:r>
      <w:r>
        <w:rPr>
          <w:rFonts w:ascii="Times New Roman" w:eastAsia="仿宋_GB2312" w:hAnsi="Times New Roman" w:hint="eastAsia"/>
          <w:b/>
          <w:sz w:val="32"/>
          <w:szCs w:val="32"/>
        </w:rPr>
        <w:t>一是</w:t>
      </w:r>
      <w:r>
        <w:rPr>
          <w:rFonts w:ascii="Times New Roman" w:eastAsia="仿宋_GB2312" w:hAnsi="Times New Roman" w:hint="eastAsia"/>
          <w:bCs/>
          <w:sz w:val="32"/>
          <w:szCs w:val="32"/>
        </w:rPr>
        <w:t>持续强化预警管理，实现北京地区有感即有报的目标。</w:t>
      </w:r>
      <w:r>
        <w:rPr>
          <w:rFonts w:ascii="Times New Roman" w:eastAsia="仿宋_GB2312" w:hAnsi="Times New Roman" w:hint="eastAsia"/>
          <w:b/>
          <w:sz w:val="32"/>
          <w:szCs w:val="32"/>
        </w:rPr>
        <w:t>二是</w:t>
      </w:r>
      <w:r>
        <w:rPr>
          <w:rFonts w:ascii="Times New Roman" w:eastAsia="仿宋_GB2312" w:hAnsi="Times New Roman" w:hint="eastAsia"/>
          <w:bCs/>
          <w:sz w:val="32"/>
          <w:szCs w:val="32"/>
        </w:rPr>
        <w:t>科技成果丰硕，年度产出科技论文</w:t>
      </w:r>
      <w:r w:rsidR="00B92440">
        <w:rPr>
          <w:rFonts w:ascii="Times New Roman" w:eastAsia="仿宋_GB2312" w:hAnsi="Times New Roman" w:hint="eastAsia"/>
          <w:bCs/>
          <w:sz w:val="32"/>
          <w:szCs w:val="32"/>
        </w:rPr>
        <w:t>、</w:t>
      </w:r>
      <w:r>
        <w:rPr>
          <w:rFonts w:ascii="Times New Roman" w:eastAsia="仿宋_GB2312" w:hAnsi="Times New Roman" w:hint="eastAsia"/>
          <w:bCs/>
          <w:sz w:val="32"/>
          <w:szCs w:val="32"/>
        </w:rPr>
        <w:t>软件著作权</w:t>
      </w:r>
      <w:r w:rsidR="00B92440">
        <w:rPr>
          <w:rFonts w:ascii="Times New Roman" w:eastAsia="仿宋_GB2312" w:hAnsi="Times New Roman" w:hint="eastAsia"/>
          <w:bCs/>
          <w:sz w:val="32"/>
          <w:szCs w:val="32"/>
        </w:rPr>
        <w:t>、</w:t>
      </w:r>
      <w:r>
        <w:rPr>
          <w:rFonts w:ascii="Times New Roman" w:eastAsia="仿宋_GB2312" w:hAnsi="Times New Roman" w:hint="eastAsia"/>
          <w:bCs/>
          <w:sz w:val="32"/>
          <w:szCs w:val="32"/>
        </w:rPr>
        <w:t>北京市地方标准</w:t>
      </w:r>
      <w:r w:rsidR="00B92440">
        <w:rPr>
          <w:rFonts w:ascii="Times New Roman" w:eastAsia="仿宋_GB2312" w:hAnsi="Times New Roman" w:hint="eastAsia"/>
          <w:bCs/>
          <w:sz w:val="32"/>
          <w:szCs w:val="32"/>
        </w:rPr>
        <w:t>等科技成果</w:t>
      </w:r>
      <w:r>
        <w:rPr>
          <w:rFonts w:ascii="Times New Roman" w:eastAsia="仿宋_GB2312" w:hAnsi="Times New Roman" w:hint="eastAsia"/>
          <w:bCs/>
          <w:sz w:val="32"/>
          <w:szCs w:val="32"/>
        </w:rPr>
        <w:t>，为行业可持续发展提供技术参考。</w:t>
      </w:r>
      <w:r>
        <w:rPr>
          <w:rFonts w:ascii="Times New Roman" w:eastAsia="仿宋_GB2312" w:hAnsi="Times New Roman" w:hint="eastAsia"/>
          <w:b/>
          <w:sz w:val="32"/>
          <w:szCs w:val="32"/>
        </w:rPr>
        <w:t>三是</w:t>
      </w:r>
      <w:r>
        <w:rPr>
          <w:rFonts w:ascii="Times New Roman" w:eastAsia="仿宋_GB2312" w:hAnsi="Times New Roman" w:hint="eastAsia"/>
          <w:bCs/>
          <w:sz w:val="32"/>
          <w:szCs w:val="32"/>
        </w:rPr>
        <w:t>基础设施迭代升级，</w:t>
      </w:r>
      <w:r>
        <w:rPr>
          <w:rFonts w:ascii="Times New Roman" w:eastAsia="仿宋_GB2312" w:hAnsi="Times New Roman" w:hint="eastAsia"/>
          <w:bCs/>
          <w:sz w:val="32"/>
          <w:szCs w:val="32"/>
        </w:rPr>
        <w:t>2024</w:t>
      </w:r>
      <w:r>
        <w:rPr>
          <w:rFonts w:ascii="Times New Roman" w:eastAsia="仿宋_GB2312" w:hAnsi="Times New Roman" w:hint="eastAsia"/>
          <w:bCs/>
          <w:sz w:val="32"/>
          <w:szCs w:val="32"/>
        </w:rPr>
        <w:t>年度保持</w:t>
      </w:r>
      <w:r w:rsidR="00C477F2">
        <w:rPr>
          <w:rFonts w:ascii="Times New Roman" w:eastAsia="仿宋_GB2312" w:hAnsi="Times New Roman" w:hint="eastAsia"/>
          <w:bCs/>
          <w:sz w:val="32"/>
          <w:szCs w:val="32"/>
        </w:rPr>
        <w:t>所属台站</w:t>
      </w:r>
      <w:r>
        <w:rPr>
          <w:rFonts w:ascii="Times New Roman" w:eastAsia="仿宋_GB2312" w:hAnsi="Times New Roman" w:hint="eastAsia"/>
          <w:bCs/>
          <w:sz w:val="32"/>
          <w:szCs w:val="32"/>
        </w:rPr>
        <w:t>正常运行率，为震情</w:t>
      </w:r>
      <w:proofErr w:type="gramStart"/>
      <w:r>
        <w:rPr>
          <w:rFonts w:ascii="Times New Roman" w:eastAsia="仿宋_GB2312" w:hAnsi="Times New Roman" w:hint="eastAsia"/>
          <w:bCs/>
          <w:sz w:val="32"/>
          <w:szCs w:val="32"/>
        </w:rPr>
        <w:t>研判提供</w:t>
      </w:r>
      <w:proofErr w:type="gramEnd"/>
      <w:r>
        <w:rPr>
          <w:rFonts w:ascii="Times New Roman" w:eastAsia="仿宋_GB2312" w:hAnsi="Times New Roman" w:hint="eastAsia"/>
          <w:bCs/>
          <w:sz w:val="32"/>
          <w:szCs w:val="32"/>
        </w:rPr>
        <w:t>全天候技术支撑。</w:t>
      </w:r>
      <w:r>
        <w:rPr>
          <w:rFonts w:ascii="Times New Roman" w:eastAsia="仿宋_GB2312" w:hAnsi="Times New Roman" w:hint="eastAsia"/>
          <w:b/>
          <w:sz w:val="32"/>
          <w:szCs w:val="32"/>
        </w:rPr>
        <w:t>四是</w:t>
      </w:r>
      <w:r>
        <w:rPr>
          <w:rFonts w:ascii="Times New Roman" w:eastAsia="仿宋_GB2312" w:hAnsi="Times New Roman" w:hint="eastAsia"/>
          <w:bCs/>
          <w:sz w:val="32"/>
          <w:szCs w:val="32"/>
        </w:rPr>
        <w:t>社会协同效益显现，年度科普覆盖人次突破千万量级，提升公众防灾素养，为长期减灾工作奠定群众基础。</w:t>
      </w:r>
    </w:p>
    <w:p w:rsidR="0038608B" w:rsidRDefault="00FA51B8">
      <w:pPr>
        <w:snapToGrid w:val="0"/>
        <w:spacing w:line="580" w:lineRule="exact"/>
        <w:ind w:firstLineChars="200" w:firstLine="643"/>
        <w:outlineLvl w:val="1"/>
        <w:rPr>
          <w:rFonts w:ascii="Times New Roman" w:eastAsia="仿宋_GB2312" w:hAnsi="Times New Roman"/>
          <w:b/>
          <w:sz w:val="32"/>
          <w:szCs w:val="32"/>
        </w:rPr>
      </w:pPr>
      <w:r>
        <w:rPr>
          <w:rFonts w:ascii="Times New Roman" w:eastAsia="仿宋_GB2312" w:hAnsi="Times New Roman" w:hint="eastAsia"/>
          <w:b/>
          <w:sz w:val="32"/>
          <w:szCs w:val="32"/>
        </w:rPr>
        <w:t>5.</w:t>
      </w:r>
      <w:r>
        <w:rPr>
          <w:rFonts w:ascii="Times New Roman" w:eastAsia="仿宋_GB2312" w:hAnsi="Times New Roman" w:hint="eastAsia"/>
          <w:b/>
          <w:sz w:val="32"/>
          <w:szCs w:val="32"/>
        </w:rPr>
        <w:t>服务对象满意度</w:t>
      </w:r>
    </w:p>
    <w:p w:rsidR="0038608B" w:rsidRDefault="00FA51B8">
      <w:pPr>
        <w:snapToGrid w:val="0"/>
        <w:spacing w:line="580" w:lineRule="exact"/>
        <w:ind w:firstLineChars="200" w:firstLine="640"/>
        <w:outlineLvl w:val="1"/>
        <w:rPr>
          <w:rFonts w:ascii="仿宋_GB2312" w:eastAsia="仿宋_GB2312"/>
          <w:sz w:val="32"/>
          <w:szCs w:val="32"/>
        </w:rPr>
      </w:pPr>
      <w:r>
        <w:rPr>
          <w:rFonts w:ascii="Times New Roman" w:eastAsia="仿宋_GB2312" w:hAnsi="Times New Roman" w:hint="eastAsia"/>
          <w:bCs/>
          <w:sz w:val="32"/>
          <w:szCs w:val="32"/>
        </w:rPr>
        <w:t>北京市地震局坚决贯彻党中央、国务院关于防灾减灾救</w:t>
      </w:r>
      <w:r>
        <w:rPr>
          <w:rFonts w:ascii="Times New Roman" w:eastAsia="仿宋_GB2312" w:hAnsi="Times New Roman" w:hint="eastAsia"/>
          <w:bCs/>
          <w:sz w:val="32"/>
          <w:szCs w:val="32"/>
        </w:rPr>
        <w:lastRenderedPageBreak/>
        <w:t>灾工作的决策部署，全面落实应急管理部和中国地震局的工作要求，高质量推进“十四五”防震减灾规划建设，持续完善地震监测预警、灾害风险防治</w:t>
      </w:r>
      <w:r w:rsidR="00F46762">
        <w:rPr>
          <w:rFonts w:ascii="Times New Roman" w:eastAsia="仿宋_GB2312" w:hAnsi="Times New Roman" w:hint="eastAsia"/>
          <w:bCs/>
          <w:sz w:val="32"/>
          <w:szCs w:val="32"/>
        </w:rPr>
        <w:t>等</w:t>
      </w:r>
      <w:r>
        <w:rPr>
          <w:rFonts w:ascii="Times New Roman" w:eastAsia="仿宋_GB2312" w:hAnsi="Times New Roman" w:hint="eastAsia"/>
          <w:bCs/>
          <w:sz w:val="32"/>
          <w:szCs w:val="32"/>
        </w:rPr>
        <w:t>保障体系，不断提升防震减灾服务能力和水平。</w:t>
      </w:r>
      <w:proofErr w:type="gramStart"/>
      <w:r>
        <w:rPr>
          <w:rFonts w:ascii="Times New Roman" w:eastAsia="仿宋_GB2312" w:hAnsi="Times New Roman" w:hint="eastAsia"/>
          <w:bCs/>
          <w:sz w:val="32"/>
          <w:szCs w:val="32"/>
        </w:rPr>
        <w:t>从满意</w:t>
      </w:r>
      <w:proofErr w:type="gramEnd"/>
      <w:r>
        <w:rPr>
          <w:rFonts w:ascii="Times New Roman" w:eastAsia="仿宋_GB2312" w:hAnsi="Times New Roman" w:hint="eastAsia"/>
          <w:bCs/>
          <w:sz w:val="32"/>
          <w:szCs w:val="32"/>
        </w:rPr>
        <w:t>度调查情况看，服务对象满意达到</w:t>
      </w:r>
      <w:r>
        <w:rPr>
          <w:rFonts w:ascii="Times New Roman" w:eastAsia="仿宋_GB2312" w:hAnsi="Times New Roman" w:hint="eastAsia"/>
          <w:bCs/>
          <w:sz w:val="32"/>
          <w:szCs w:val="32"/>
        </w:rPr>
        <w:t>90%</w:t>
      </w:r>
      <w:r>
        <w:rPr>
          <w:rFonts w:ascii="Times New Roman" w:eastAsia="仿宋_GB2312" w:hAnsi="Times New Roman" w:hint="eastAsia"/>
          <w:bCs/>
          <w:sz w:val="32"/>
          <w:szCs w:val="32"/>
        </w:rPr>
        <w:t>以上。</w:t>
      </w:r>
    </w:p>
    <w:p w:rsidR="0038608B" w:rsidRDefault="00FA51B8">
      <w:pPr>
        <w:snapToGrid w:val="0"/>
        <w:spacing w:line="580" w:lineRule="exact"/>
        <w:ind w:firstLineChars="200" w:firstLine="640"/>
        <w:outlineLvl w:val="1"/>
        <w:rPr>
          <w:rFonts w:ascii="黑体" w:eastAsia="黑体" w:hAnsi="黑体"/>
          <w:sz w:val="32"/>
          <w:szCs w:val="32"/>
        </w:rPr>
      </w:pPr>
      <w:r>
        <w:rPr>
          <w:rFonts w:ascii="黑体" w:eastAsia="黑体" w:hAnsi="黑体" w:hint="eastAsia"/>
          <w:sz w:val="32"/>
          <w:szCs w:val="32"/>
        </w:rPr>
        <w:t>四、预算管理情况分析</w:t>
      </w:r>
      <w:bookmarkEnd w:id="11"/>
    </w:p>
    <w:p w:rsidR="0038608B" w:rsidRDefault="00FA51B8">
      <w:pPr>
        <w:snapToGrid w:val="0"/>
        <w:spacing w:line="580" w:lineRule="exact"/>
        <w:ind w:firstLineChars="200" w:firstLine="643"/>
        <w:outlineLvl w:val="1"/>
        <w:rPr>
          <w:rFonts w:ascii="楷体_GB2312" w:eastAsia="楷体_GB2312" w:hAnsi="楷体_GB2312" w:cs="楷体_GB2312"/>
          <w:b/>
          <w:sz w:val="32"/>
          <w:szCs w:val="32"/>
        </w:rPr>
      </w:pPr>
      <w:bookmarkStart w:id="12" w:name="_Toc106001814"/>
      <w:r>
        <w:rPr>
          <w:rFonts w:ascii="楷体_GB2312" w:eastAsia="楷体_GB2312" w:hAnsi="楷体_GB2312" w:cs="楷体_GB2312" w:hint="eastAsia"/>
          <w:b/>
          <w:sz w:val="32"/>
          <w:szCs w:val="32"/>
        </w:rPr>
        <w:t>（一）财务管理</w:t>
      </w:r>
      <w:bookmarkEnd w:id="12"/>
    </w:p>
    <w:p w:rsidR="0038608B" w:rsidRDefault="00FA51B8">
      <w:pPr>
        <w:snapToGrid w:val="0"/>
        <w:spacing w:line="580" w:lineRule="exact"/>
        <w:ind w:firstLineChars="200" w:firstLine="643"/>
        <w:outlineLvl w:val="1"/>
        <w:rPr>
          <w:rFonts w:ascii="Times New Roman" w:eastAsia="仿宋_GB2312" w:hAnsi="Times New Roman"/>
          <w:bCs/>
          <w:sz w:val="32"/>
          <w:szCs w:val="32"/>
        </w:rPr>
      </w:pPr>
      <w:r>
        <w:rPr>
          <w:rFonts w:ascii="Times New Roman" w:eastAsia="仿宋_GB2312" w:hAnsi="Times New Roman" w:hint="eastAsia"/>
          <w:b/>
          <w:sz w:val="32"/>
          <w:szCs w:val="32"/>
        </w:rPr>
        <w:t>1.</w:t>
      </w:r>
      <w:r>
        <w:rPr>
          <w:rFonts w:ascii="Times New Roman" w:eastAsia="仿宋_GB2312" w:hAnsi="Times New Roman" w:hint="eastAsia"/>
          <w:b/>
          <w:sz w:val="32"/>
          <w:szCs w:val="32"/>
        </w:rPr>
        <w:t>财务管理制度健全性</w:t>
      </w:r>
    </w:p>
    <w:p w:rsidR="0038608B" w:rsidRDefault="00FA51B8">
      <w:pPr>
        <w:snapToGrid w:val="0"/>
        <w:spacing w:line="580" w:lineRule="exact"/>
        <w:ind w:firstLineChars="200" w:firstLine="640"/>
        <w:outlineLvl w:val="1"/>
        <w:rPr>
          <w:rFonts w:ascii="Times New Roman" w:eastAsia="仿宋_GB2312" w:hAnsi="Times New Roman"/>
          <w:bCs/>
          <w:sz w:val="32"/>
          <w:szCs w:val="32"/>
        </w:rPr>
      </w:pPr>
      <w:r>
        <w:rPr>
          <w:rFonts w:ascii="Times New Roman" w:eastAsia="仿宋_GB2312" w:hAnsi="Times New Roman" w:hint="eastAsia"/>
          <w:bCs/>
          <w:sz w:val="32"/>
          <w:szCs w:val="32"/>
        </w:rPr>
        <w:t>为全面提升财务管理规范化、科学化水平，北京市地震局构建了覆盖全流程、全方位的财务管理制度体系。该体系涵盖资金审批、会计核算、预算管理、收支管理、资产管理、合同管理、政府采购及建设项目管理等核心领域，通过制度化的规范监督机制，确保各项财务工作依法依规、高效有序开展。特别是在政府采购环节，严格执行《中华人民共和国政府采购法》及其实施条例，规范履行财政资金支付程序，未出现违法违规问题、未受到行政处理和行政处罚。</w:t>
      </w:r>
    </w:p>
    <w:p w:rsidR="0038608B" w:rsidRDefault="00FA51B8">
      <w:pPr>
        <w:snapToGrid w:val="0"/>
        <w:spacing w:line="580" w:lineRule="exact"/>
        <w:ind w:firstLineChars="200" w:firstLine="643"/>
        <w:outlineLvl w:val="1"/>
        <w:rPr>
          <w:rFonts w:ascii="Times New Roman" w:eastAsia="仿宋_GB2312" w:hAnsi="Times New Roman"/>
          <w:b/>
          <w:sz w:val="32"/>
          <w:szCs w:val="32"/>
        </w:rPr>
      </w:pPr>
      <w:r>
        <w:rPr>
          <w:rFonts w:ascii="Times New Roman" w:eastAsia="仿宋_GB2312" w:hAnsi="Times New Roman" w:hint="eastAsia"/>
          <w:b/>
          <w:sz w:val="32"/>
          <w:szCs w:val="32"/>
        </w:rPr>
        <w:t>2.</w:t>
      </w:r>
      <w:r>
        <w:rPr>
          <w:rFonts w:ascii="Times New Roman" w:eastAsia="仿宋_GB2312" w:hAnsi="Times New Roman" w:hint="eastAsia"/>
          <w:b/>
          <w:sz w:val="32"/>
          <w:szCs w:val="32"/>
        </w:rPr>
        <w:t>资金使用合</w:t>
      </w:r>
      <w:proofErr w:type="gramStart"/>
      <w:r>
        <w:rPr>
          <w:rFonts w:ascii="Times New Roman" w:eastAsia="仿宋_GB2312" w:hAnsi="Times New Roman" w:hint="eastAsia"/>
          <w:b/>
          <w:sz w:val="32"/>
          <w:szCs w:val="32"/>
        </w:rPr>
        <w:t>规</w:t>
      </w:r>
      <w:proofErr w:type="gramEnd"/>
      <w:r>
        <w:rPr>
          <w:rFonts w:ascii="Times New Roman" w:eastAsia="仿宋_GB2312" w:hAnsi="Times New Roman" w:hint="eastAsia"/>
          <w:b/>
          <w:sz w:val="32"/>
          <w:szCs w:val="32"/>
        </w:rPr>
        <w:t>性和安全性</w:t>
      </w:r>
    </w:p>
    <w:p w:rsidR="0038608B" w:rsidRDefault="00FA51B8">
      <w:pPr>
        <w:snapToGrid w:val="0"/>
        <w:spacing w:line="580" w:lineRule="exact"/>
        <w:ind w:firstLineChars="200" w:firstLine="640"/>
        <w:outlineLvl w:val="1"/>
        <w:rPr>
          <w:rFonts w:ascii="Times New Roman" w:eastAsia="仿宋_GB2312" w:hAnsi="Times New Roman"/>
          <w:bCs/>
          <w:sz w:val="32"/>
          <w:szCs w:val="32"/>
        </w:rPr>
      </w:pPr>
      <w:r>
        <w:rPr>
          <w:rFonts w:ascii="Times New Roman" w:eastAsia="仿宋_GB2312" w:hAnsi="Times New Roman" w:hint="eastAsia"/>
          <w:bCs/>
          <w:sz w:val="32"/>
          <w:szCs w:val="32"/>
        </w:rPr>
        <w:t>资金使用始终坚持合</w:t>
      </w:r>
      <w:proofErr w:type="gramStart"/>
      <w:r>
        <w:rPr>
          <w:rFonts w:ascii="Times New Roman" w:eastAsia="仿宋_GB2312" w:hAnsi="Times New Roman" w:hint="eastAsia"/>
          <w:bCs/>
          <w:sz w:val="32"/>
          <w:szCs w:val="32"/>
        </w:rPr>
        <w:t>规</w:t>
      </w:r>
      <w:proofErr w:type="gramEnd"/>
      <w:r>
        <w:rPr>
          <w:rFonts w:ascii="Times New Roman" w:eastAsia="仿宋_GB2312" w:hAnsi="Times New Roman" w:hint="eastAsia"/>
          <w:bCs/>
          <w:sz w:val="32"/>
          <w:szCs w:val="32"/>
        </w:rPr>
        <w:t>性和安全性的原则，严格执行国家法律法规及相关管理办法，确保资金拨付审批程序完整规范。所有资金使用均符合安全合</w:t>
      </w:r>
      <w:proofErr w:type="gramStart"/>
      <w:r>
        <w:rPr>
          <w:rFonts w:ascii="Times New Roman" w:eastAsia="仿宋_GB2312" w:hAnsi="Times New Roman" w:hint="eastAsia"/>
          <w:bCs/>
          <w:sz w:val="32"/>
          <w:szCs w:val="32"/>
        </w:rPr>
        <w:t>规</w:t>
      </w:r>
      <w:proofErr w:type="gramEnd"/>
      <w:r>
        <w:rPr>
          <w:rFonts w:ascii="Times New Roman" w:eastAsia="仿宋_GB2312" w:hAnsi="Times New Roman" w:hint="eastAsia"/>
          <w:bCs/>
          <w:sz w:val="32"/>
          <w:szCs w:val="32"/>
        </w:rPr>
        <w:t>要求，不存在截留、挤占或挪用等违规现象。同时，深入贯彻落实“三重一大”决策制度，通过从严、从细、从实的管理措施不断完善大额资金管理机制，规范审批和支付流程。项目重大开支符合部门预</w:t>
      </w:r>
      <w:r>
        <w:rPr>
          <w:rFonts w:ascii="Times New Roman" w:eastAsia="仿宋_GB2312" w:hAnsi="Times New Roman" w:hint="eastAsia"/>
          <w:bCs/>
          <w:sz w:val="32"/>
          <w:szCs w:val="32"/>
        </w:rPr>
        <w:lastRenderedPageBreak/>
        <w:t>算批复的用途和相关规定的开支范围，有效保障预算资金运行的规范性和安全性。</w:t>
      </w:r>
    </w:p>
    <w:p w:rsidR="0038608B" w:rsidRDefault="00FA51B8">
      <w:pPr>
        <w:snapToGrid w:val="0"/>
        <w:spacing w:line="580" w:lineRule="exact"/>
        <w:ind w:firstLineChars="200" w:firstLine="643"/>
        <w:outlineLvl w:val="1"/>
        <w:rPr>
          <w:rFonts w:ascii="Times New Roman" w:eastAsia="仿宋_GB2312" w:hAnsi="Times New Roman"/>
          <w:b/>
          <w:sz w:val="32"/>
          <w:szCs w:val="32"/>
        </w:rPr>
      </w:pPr>
      <w:r>
        <w:rPr>
          <w:rFonts w:ascii="Times New Roman" w:eastAsia="仿宋_GB2312" w:hAnsi="Times New Roman" w:hint="eastAsia"/>
          <w:b/>
          <w:sz w:val="32"/>
          <w:szCs w:val="32"/>
        </w:rPr>
        <w:t>3.</w:t>
      </w:r>
      <w:r>
        <w:rPr>
          <w:rFonts w:ascii="Times New Roman" w:eastAsia="仿宋_GB2312" w:hAnsi="Times New Roman" w:hint="eastAsia"/>
          <w:b/>
          <w:sz w:val="32"/>
          <w:szCs w:val="32"/>
        </w:rPr>
        <w:t>会计基础信息完善性</w:t>
      </w:r>
    </w:p>
    <w:p w:rsidR="0038608B" w:rsidRDefault="00FA51B8">
      <w:pPr>
        <w:snapToGrid w:val="0"/>
        <w:spacing w:line="580" w:lineRule="exact"/>
        <w:ind w:firstLineChars="200" w:firstLine="640"/>
        <w:outlineLvl w:val="1"/>
        <w:rPr>
          <w:rFonts w:ascii="仿宋_GB2312" w:eastAsia="仿宋_GB2312"/>
          <w:sz w:val="32"/>
          <w:szCs w:val="32"/>
        </w:rPr>
      </w:pPr>
      <w:r>
        <w:rPr>
          <w:rFonts w:ascii="Times New Roman" w:eastAsia="仿宋_GB2312" w:hAnsi="Times New Roman" w:hint="eastAsia"/>
          <w:bCs/>
          <w:sz w:val="32"/>
          <w:szCs w:val="32"/>
        </w:rPr>
        <w:t>坚持按照《中华人民共和国会计法》和《事业单位财务规则》等要求进行会计核算，保证财务会计信息的真实性、完整性和准确性。财务部门会计账套、</w:t>
      </w:r>
      <w:r>
        <w:rPr>
          <w:rFonts w:ascii="Times New Roman" w:eastAsia="仿宋_GB2312" w:hAnsi="Times New Roman" w:hint="eastAsia"/>
          <w:bCs/>
          <w:sz w:val="32"/>
          <w:szCs w:val="32"/>
        </w:rPr>
        <w:t>2024</w:t>
      </w:r>
      <w:r>
        <w:rPr>
          <w:rFonts w:ascii="Times New Roman" w:eastAsia="仿宋_GB2312" w:hAnsi="Times New Roman" w:hint="eastAsia"/>
          <w:bCs/>
          <w:sz w:val="32"/>
          <w:szCs w:val="32"/>
        </w:rPr>
        <w:t>年部门决算，以及重点项目的记账凭证等会计基础信息资料数据清晰、完善，账目记载准确。报销附件规范，原始凭证要素齐全，财务档案资料归档及时。</w:t>
      </w:r>
    </w:p>
    <w:p w:rsidR="0038608B" w:rsidRDefault="00FA51B8">
      <w:pPr>
        <w:snapToGrid w:val="0"/>
        <w:spacing w:line="580" w:lineRule="exact"/>
        <w:ind w:firstLineChars="200" w:firstLine="643"/>
        <w:outlineLvl w:val="1"/>
        <w:rPr>
          <w:rFonts w:ascii="楷体_GB2312" w:eastAsia="楷体_GB2312" w:hAnsi="楷体_GB2312" w:cs="楷体_GB2312"/>
          <w:b/>
          <w:sz w:val="32"/>
          <w:szCs w:val="32"/>
        </w:rPr>
      </w:pPr>
      <w:bookmarkStart w:id="13" w:name="_Toc106001815"/>
      <w:r>
        <w:rPr>
          <w:rFonts w:ascii="楷体_GB2312" w:eastAsia="楷体_GB2312" w:hAnsi="楷体_GB2312" w:cs="楷体_GB2312" w:hint="eastAsia"/>
          <w:b/>
          <w:sz w:val="32"/>
          <w:szCs w:val="32"/>
        </w:rPr>
        <w:t>（二）资产管理</w:t>
      </w:r>
      <w:bookmarkEnd w:id="13"/>
    </w:p>
    <w:p w:rsidR="0038608B" w:rsidRDefault="00FA51B8">
      <w:pPr>
        <w:snapToGrid w:val="0"/>
        <w:spacing w:line="580" w:lineRule="exact"/>
        <w:ind w:firstLineChars="200" w:firstLine="640"/>
        <w:outlineLvl w:val="1"/>
        <w:rPr>
          <w:rFonts w:ascii="Times New Roman" w:eastAsia="仿宋_GB2312" w:hAnsi="Times New Roman"/>
          <w:bCs/>
          <w:sz w:val="32"/>
          <w:szCs w:val="32"/>
        </w:rPr>
      </w:pPr>
      <w:r>
        <w:rPr>
          <w:rFonts w:ascii="Times New Roman" w:eastAsia="仿宋_GB2312" w:hAnsi="Times New Roman" w:hint="eastAsia"/>
          <w:bCs/>
          <w:sz w:val="32"/>
          <w:szCs w:val="32"/>
        </w:rPr>
        <w:t>北京市地震局高度重视国有资产管理工作，严格贯彻执行《北京市地震局国有资产管理实施细则》的各项规定，坚持“统一政策、分级管理、物尽其用”的管理原则。全局实行部门领导负责制，各部门对本单位使用的国有资产负有直接管理责任，指定专人负责资产的日常保管、领用登记、定期清查和维护保养等工作。在管理职责方面，</w:t>
      </w:r>
      <w:r w:rsidR="00067893">
        <w:rPr>
          <w:rFonts w:ascii="Times New Roman" w:eastAsia="仿宋_GB2312" w:hAnsi="Times New Roman" w:hint="eastAsia"/>
          <w:bCs/>
          <w:sz w:val="32"/>
          <w:szCs w:val="32"/>
        </w:rPr>
        <w:t>专人</w:t>
      </w:r>
      <w:r>
        <w:rPr>
          <w:rFonts w:ascii="Times New Roman" w:eastAsia="仿宋_GB2312" w:hAnsi="Times New Roman" w:hint="eastAsia"/>
          <w:bCs/>
          <w:sz w:val="32"/>
          <w:szCs w:val="32"/>
        </w:rPr>
        <w:t>负责资产购置、验收入库、账卡管理、清查登记及统计报告</w:t>
      </w:r>
      <w:r w:rsidR="00067893">
        <w:rPr>
          <w:rFonts w:ascii="Times New Roman" w:eastAsia="仿宋_GB2312" w:hAnsi="Times New Roman" w:hint="eastAsia"/>
          <w:bCs/>
          <w:sz w:val="32"/>
          <w:szCs w:val="32"/>
        </w:rPr>
        <w:t>、国有资产会计核算与账务管理、固定资产的实物管理</w:t>
      </w:r>
      <w:r>
        <w:rPr>
          <w:rFonts w:ascii="Times New Roman" w:eastAsia="仿宋_GB2312" w:hAnsi="Times New Roman" w:hint="eastAsia"/>
          <w:bCs/>
          <w:sz w:val="32"/>
          <w:szCs w:val="32"/>
        </w:rPr>
        <w:t>等综合管理工作。在资产管理全流程方面，北京市地震局严格规范固定资产的购置、使用、保管及报废处置等各个环节，严格执行审批制度和工作流程，确保资产保存完整、处置合</w:t>
      </w:r>
      <w:proofErr w:type="gramStart"/>
      <w:r>
        <w:rPr>
          <w:rFonts w:ascii="Times New Roman" w:eastAsia="仿宋_GB2312" w:hAnsi="Times New Roman" w:hint="eastAsia"/>
          <w:bCs/>
          <w:sz w:val="32"/>
          <w:szCs w:val="32"/>
        </w:rPr>
        <w:t>规</w:t>
      </w:r>
      <w:proofErr w:type="gramEnd"/>
      <w:r>
        <w:rPr>
          <w:rFonts w:ascii="Times New Roman" w:eastAsia="仿宋_GB2312" w:hAnsi="Times New Roman" w:hint="eastAsia"/>
          <w:bCs/>
          <w:sz w:val="32"/>
          <w:szCs w:val="32"/>
        </w:rPr>
        <w:t>，实现了固定资产的高效利用和规范管理。</w:t>
      </w:r>
    </w:p>
    <w:p w:rsidR="0038608B" w:rsidRDefault="00FA51B8">
      <w:pPr>
        <w:snapToGrid w:val="0"/>
        <w:spacing w:line="580" w:lineRule="exact"/>
        <w:ind w:firstLineChars="200" w:firstLine="643"/>
        <w:outlineLvl w:val="1"/>
        <w:rPr>
          <w:rFonts w:ascii="楷体_GB2312" w:eastAsia="楷体_GB2312" w:hAnsi="楷体_GB2312" w:cs="楷体_GB2312"/>
          <w:b/>
          <w:sz w:val="32"/>
          <w:szCs w:val="32"/>
        </w:rPr>
      </w:pPr>
      <w:bookmarkStart w:id="14" w:name="_Toc106001816"/>
      <w:r>
        <w:rPr>
          <w:rFonts w:ascii="楷体_GB2312" w:eastAsia="楷体_GB2312" w:hAnsi="楷体_GB2312" w:cs="楷体_GB2312" w:hint="eastAsia"/>
          <w:b/>
          <w:sz w:val="32"/>
          <w:szCs w:val="32"/>
        </w:rPr>
        <w:t>（三）绩效管理</w:t>
      </w:r>
      <w:bookmarkEnd w:id="14"/>
    </w:p>
    <w:p w:rsidR="0038608B" w:rsidRDefault="00FA51B8">
      <w:pPr>
        <w:snapToGrid w:val="0"/>
        <w:spacing w:line="580" w:lineRule="exact"/>
        <w:ind w:firstLineChars="200" w:firstLine="640"/>
        <w:outlineLvl w:val="1"/>
        <w:rPr>
          <w:rFonts w:ascii="Times New Roman" w:eastAsia="仿宋_GB2312" w:hAnsi="Times New Roman"/>
          <w:bCs/>
          <w:sz w:val="32"/>
          <w:szCs w:val="32"/>
        </w:rPr>
      </w:pPr>
      <w:r>
        <w:rPr>
          <w:rFonts w:ascii="Times New Roman" w:eastAsia="仿宋_GB2312" w:hAnsi="Times New Roman" w:hint="eastAsia"/>
          <w:bCs/>
          <w:sz w:val="32"/>
          <w:szCs w:val="32"/>
        </w:rPr>
        <w:lastRenderedPageBreak/>
        <w:t>北京市地震局深入贯彻落实全面实施预算绩效管理的工作要求，持续推进预算绩效管理改革，将绩效理念深度融入预算编制、执行和监控各环节，着力</w:t>
      </w:r>
      <w:proofErr w:type="gramStart"/>
      <w:r>
        <w:rPr>
          <w:rFonts w:ascii="Times New Roman" w:eastAsia="仿宋_GB2312" w:hAnsi="Times New Roman" w:hint="eastAsia"/>
          <w:bCs/>
          <w:sz w:val="32"/>
          <w:szCs w:val="32"/>
        </w:rPr>
        <w:t>构建全</w:t>
      </w:r>
      <w:proofErr w:type="gramEnd"/>
      <w:r>
        <w:rPr>
          <w:rFonts w:ascii="Times New Roman" w:eastAsia="仿宋_GB2312" w:hAnsi="Times New Roman" w:hint="eastAsia"/>
          <w:bCs/>
          <w:sz w:val="32"/>
          <w:szCs w:val="32"/>
        </w:rPr>
        <w:t>过程预算绩效管理体系。</w:t>
      </w:r>
      <w:r>
        <w:rPr>
          <w:rFonts w:ascii="Times New Roman" w:eastAsia="仿宋_GB2312" w:hAnsi="Times New Roman" w:hint="eastAsia"/>
          <w:bCs/>
          <w:sz w:val="32"/>
          <w:szCs w:val="32"/>
        </w:rPr>
        <w:t>2025</w:t>
      </w:r>
      <w:r>
        <w:rPr>
          <w:rFonts w:ascii="Times New Roman" w:eastAsia="仿宋_GB2312" w:hAnsi="Times New Roman" w:hint="eastAsia"/>
          <w:bCs/>
          <w:sz w:val="32"/>
          <w:szCs w:val="32"/>
        </w:rPr>
        <w:t>年，根据</w:t>
      </w:r>
      <w:r w:rsidR="0025756B">
        <w:rPr>
          <w:rFonts w:ascii="Times New Roman" w:eastAsia="仿宋_GB2312" w:hAnsi="Times New Roman" w:hint="eastAsia"/>
          <w:bCs/>
          <w:sz w:val="32"/>
          <w:szCs w:val="32"/>
        </w:rPr>
        <w:t>相关</w:t>
      </w:r>
      <w:r>
        <w:rPr>
          <w:rFonts w:ascii="Times New Roman" w:eastAsia="仿宋_GB2312" w:hAnsi="Times New Roman" w:hint="eastAsia"/>
          <w:bCs/>
          <w:sz w:val="32"/>
          <w:szCs w:val="32"/>
        </w:rPr>
        <w:t>工作</w:t>
      </w:r>
      <w:r w:rsidR="000F2395">
        <w:rPr>
          <w:rFonts w:ascii="Times New Roman" w:eastAsia="仿宋_GB2312" w:hAnsi="Times New Roman" w:hint="eastAsia"/>
          <w:bCs/>
          <w:sz w:val="32"/>
          <w:szCs w:val="32"/>
        </w:rPr>
        <w:t>要求</w:t>
      </w:r>
      <w:r w:rsidR="00B17E9C">
        <w:rPr>
          <w:rFonts w:ascii="Times New Roman" w:eastAsia="仿宋_GB2312" w:hAnsi="Times New Roman" w:hint="eastAsia"/>
          <w:bCs/>
          <w:sz w:val="32"/>
          <w:szCs w:val="32"/>
        </w:rPr>
        <w:t>，</w:t>
      </w:r>
      <w:r>
        <w:rPr>
          <w:rFonts w:ascii="Times New Roman" w:eastAsia="仿宋_GB2312" w:hAnsi="Times New Roman" w:hint="eastAsia"/>
          <w:bCs/>
          <w:sz w:val="32"/>
          <w:szCs w:val="32"/>
        </w:rPr>
        <w:t>组织相关处室和项目单位严格对照既定绩效目标，系统梳理项目执行资料，全面归集产出成果，逐一填写上报项目支出绩效自评表。在此基础上进行审核汇总，全方位把握部门整体预算执行、绩效目标实现和预算管理情况，</w:t>
      </w:r>
      <w:r w:rsidR="00B42038">
        <w:rPr>
          <w:rFonts w:ascii="Times New Roman" w:eastAsia="仿宋_GB2312" w:hAnsi="Times New Roman" w:hint="eastAsia"/>
          <w:bCs/>
          <w:sz w:val="32"/>
          <w:szCs w:val="32"/>
        </w:rPr>
        <w:t>开展</w:t>
      </w:r>
      <w:r>
        <w:rPr>
          <w:rFonts w:ascii="Times New Roman" w:eastAsia="仿宋_GB2312" w:hAnsi="Times New Roman" w:hint="eastAsia"/>
          <w:bCs/>
          <w:sz w:val="32"/>
          <w:szCs w:val="32"/>
        </w:rPr>
        <w:t>项目支出绩效自评</w:t>
      </w:r>
      <w:r w:rsidR="00B42038">
        <w:rPr>
          <w:rFonts w:ascii="Times New Roman" w:eastAsia="仿宋_GB2312" w:hAnsi="Times New Roman" w:hint="eastAsia"/>
          <w:bCs/>
          <w:sz w:val="32"/>
          <w:szCs w:val="32"/>
        </w:rPr>
        <w:t>工作</w:t>
      </w:r>
      <w:r w:rsidR="00CF2F75">
        <w:rPr>
          <w:rFonts w:ascii="Times New Roman" w:eastAsia="仿宋_GB2312" w:hAnsi="Times New Roman" w:hint="eastAsia"/>
          <w:bCs/>
          <w:sz w:val="32"/>
          <w:szCs w:val="32"/>
        </w:rPr>
        <w:t>及</w:t>
      </w:r>
      <w:r>
        <w:rPr>
          <w:rFonts w:ascii="Times New Roman" w:eastAsia="仿宋_GB2312" w:hAnsi="Times New Roman" w:hint="eastAsia"/>
          <w:bCs/>
          <w:sz w:val="32"/>
          <w:szCs w:val="32"/>
        </w:rPr>
        <w:t>“北京强震态势及地震风险评估”项目的重点项目绩效评价，深入分析项目实施效果和产出效益，有效推动绩效目标的全面落实和项目管理水平的持续提升。</w:t>
      </w:r>
    </w:p>
    <w:p w:rsidR="0038608B" w:rsidRDefault="00FA51B8">
      <w:pPr>
        <w:snapToGrid w:val="0"/>
        <w:spacing w:line="580" w:lineRule="exact"/>
        <w:ind w:firstLineChars="200" w:firstLine="643"/>
        <w:outlineLvl w:val="1"/>
        <w:rPr>
          <w:rFonts w:ascii="楷体_GB2312" w:eastAsia="楷体_GB2312" w:hAnsi="楷体_GB2312" w:cs="楷体_GB2312"/>
          <w:b/>
          <w:sz w:val="32"/>
          <w:szCs w:val="32"/>
        </w:rPr>
      </w:pPr>
      <w:bookmarkStart w:id="15" w:name="_Toc106001817"/>
      <w:r>
        <w:rPr>
          <w:rFonts w:ascii="楷体_GB2312" w:eastAsia="楷体_GB2312" w:hAnsi="楷体_GB2312" w:cs="楷体_GB2312" w:hint="eastAsia"/>
          <w:b/>
          <w:sz w:val="32"/>
          <w:szCs w:val="32"/>
        </w:rPr>
        <w:t>（四）结转结余率</w:t>
      </w:r>
      <w:bookmarkEnd w:id="15"/>
    </w:p>
    <w:p w:rsidR="0038608B" w:rsidRDefault="00FA51B8">
      <w:pPr>
        <w:snapToGrid w:val="0"/>
        <w:spacing w:line="580" w:lineRule="exact"/>
        <w:ind w:firstLineChars="200" w:firstLine="640"/>
        <w:outlineLvl w:val="1"/>
        <w:rPr>
          <w:rFonts w:ascii="Times New Roman" w:eastAsia="仿宋_GB2312" w:hAnsi="Times New Roman"/>
          <w:bCs/>
          <w:sz w:val="32"/>
          <w:szCs w:val="32"/>
        </w:rPr>
      </w:pPr>
      <w:r>
        <w:rPr>
          <w:rFonts w:ascii="Times New Roman" w:eastAsia="仿宋_GB2312" w:hAnsi="Times New Roman" w:hint="eastAsia"/>
          <w:bCs/>
          <w:sz w:val="32"/>
          <w:szCs w:val="32"/>
        </w:rPr>
        <w:t>2024</w:t>
      </w:r>
      <w:r>
        <w:rPr>
          <w:rFonts w:ascii="Times New Roman" w:eastAsia="仿宋_GB2312" w:hAnsi="Times New Roman" w:hint="eastAsia"/>
          <w:bCs/>
          <w:sz w:val="32"/>
          <w:szCs w:val="32"/>
        </w:rPr>
        <w:t>年全年预</w:t>
      </w:r>
      <w:r w:rsidRPr="00B50282">
        <w:rPr>
          <w:rFonts w:ascii="Times New Roman" w:eastAsia="仿宋_GB2312" w:hAnsi="Times New Roman" w:hint="eastAsia"/>
          <w:bCs/>
          <w:sz w:val="32"/>
          <w:szCs w:val="32"/>
        </w:rPr>
        <w:t>算数</w:t>
      </w:r>
      <w:r w:rsidRPr="00B50282">
        <w:rPr>
          <w:rFonts w:ascii="Times New Roman" w:eastAsia="仿宋_GB2312" w:hAnsi="Times New Roman" w:hint="eastAsia"/>
          <w:bCs/>
          <w:sz w:val="32"/>
          <w:szCs w:val="32"/>
        </w:rPr>
        <w:t>34662.93</w:t>
      </w:r>
      <w:r w:rsidRPr="00B50282">
        <w:rPr>
          <w:rFonts w:ascii="Times New Roman" w:eastAsia="仿宋_GB2312" w:hAnsi="Times New Roman" w:hint="eastAsia"/>
          <w:bCs/>
          <w:sz w:val="32"/>
          <w:szCs w:val="32"/>
        </w:rPr>
        <w:t>万元，年末结转和结余资金</w:t>
      </w:r>
      <w:r w:rsidRPr="00B50282">
        <w:rPr>
          <w:rFonts w:ascii="Times New Roman" w:eastAsia="仿宋_GB2312" w:hAnsi="Times New Roman" w:hint="eastAsia"/>
          <w:bCs/>
          <w:sz w:val="32"/>
          <w:szCs w:val="32"/>
        </w:rPr>
        <w:t>3767.43</w:t>
      </w:r>
      <w:r w:rsidRPr="00B50282">
        <w:rPr>
          <w:rFonts w:ascii="Times New Roman" w:eastAsia="仿宋_GB2312" w:hAnsi="Times New Roman" w:hint="eastAsia"/>
          <w:bCs/>
          <w:sz w:val="32"/>
          <w:szCs w:val="32"/>
        </w:rPr>
        <w:t>万元，结转结余率为</w:t>
      </w:r>
      <w:r w:rsidRPr="00B50282">
        <w:rPr>
          <w:rFonts w:ascii="Times New Roman" w:eastAsia="仿宋_GB2312" w:hAnsi="Times New Roman" w:hint="eastAsia"/>
          <w:bCs/>
          <w:sz w:val="32"/>
          <w:szCs w:val="32"/>
        </w:rPr>
        <w:t>10.87%</w:t>
      </w:r>
      <w:r w:rsidRPr="00B50282">
        <w:rPr>
          <w:rFonts w:ascii="Times New Roman" w:eastAsia="仿宋_GB2312" w:hAnsi="Times New Roman" w:hint="eastAsia"/>
          <w:bCs/>
          <w:sz w:val="32"/>
          <w:szCs w:val="32"/>
        </w:rPr>
        <w:t>，主要原因是年中追加基本建设类项目经费。</w:t>
      </w:r>
    </w:p>
    <w:p w:rsidR="0038608B" w:rsidRDefault="00FA51B8">
      <w:pPr>
        <w:snapToGrid w:val="0"/>
        <w:spacing w:line="580" w:lineRule="exact"/>
        <w:ind w:firstLineChars="200" w:firstLine="643"/>
        <w:outlineLvl w:val="1"/>
        <w:rPr>
          <w:rFonts w:ascii="楷体_GB2312" w:eastAsia="楷体_GB2312" w:hAnsi="楷体_GB2312" w:cs="楷体_GB2312"/>
          <w:b/>
          <w:sz w:val="32"/>
          <w:szCs w:val="32"/>
        </w:rPr>
      </w:pPr>
      <w:bookmarkStart w:id="16" w:name="_Toc106001818"/>
      <w:r>
        <w:rPr>
          <w:rFonts w:ascii="楷体_GB2312" w:eastAsia="楷体_GB2312" w:hAnsi="楷体_GB2312" w:cs="楷体_GB2312" w:hint="eastAsia"/>
          <w:b/>
          <w:sz w:val="32"/>
          <w:szCs w:val="32"/>
        </w:rPr>
        <w:t>（五）部门预决算差异</w:t>
      </w:r>
      <w:bookmarkEnd w:id="16"/>
      <w:r>
        <w:rPr>
          <w:rFonts w:ascii="楷体_GB2312" w:eastAsia="楷体_GB2312" w:hAnsi="楷体_GB2312" w:cs="楷体_GB2312" w:hint="eastAsia"/>
          <w:b/>
          <w:sz w:val="32"/>
          <w:szCs w:val="32"/>
        </w:rPr>
        <w:t>率</w:t>
      </w:r>
    </w:p>
    <w:p w:rsidR="0038608B" w:rsidRDefault="00FA51B8">
      <w:pPr>
        <w:snapToGrid w:val="0"/>
        <w:spacing w:line="580" w:lineRule="exact"/>
        <w:ind w:firstLineChars="200" w:firstLine="640"/>
        <w:rPr>
          <w:rFonts w:ascii="Times New Roman" w:eastAsia="仿宋_GB2312" w:hAnsi="Times New Roman"/>
          <w:bCs/>
          <w:sz w:val="32"/>
          <w:szCs w:val="32"/>
        </w:rPr>
      </w:pPr>
      <w:r>
        <w:rPr>
          <w:rFonts w:ascii="Times New Roman" w:eastAsia="仿宋_GB2312" w:hAnsi="Times New Roman" w:hint="eastAsia"/>
          <w:bCs/>
          <w:sz w:val="32"/>
          <w:szCs w:val="32"/>
        </w:rPr>
        <w:t>2024</w:t>
      </w:r>
      <w:r>
        <w:rPr>
          <w:rFonts w:ascii="Times New Roman" w:eastAsia="仿宋_GB2312" w:hAnsi="Times New Roman" w:hint="eastAsia"/>
          <w:bCs/>
          <w:sz w:val="32"/>
          <w:szCs w:val="32"/>
        </w:rPr>
        <w:t>年年初安排支出预算金额</w:t>
      </w:r>
      <w:r>
        <w:rPr>
          <w:rFonts w:ascii="Times New Roman" w:eastAsia="仿宋_GB2312" w:hAnsi="Times New Roman" w:hint="eastAsia"/>
          <w:bCs/>
          <w:sz w:val="32"/>
          <w:szCs w:val="32"/>
        </w:rPr>
        <w:t>11898.33</w:t>
      </w:r>
      <w:r>
        <w:rPr>
          <w:rFonts w:ascii="Times New Roman" w:eastAsia="仿宋_GB2312" w:hAnsi="Times New Roman" w:hint="eastAsia"/>
          <w:bCs/>
          <w:sz w:val="32"/>
          <w:szCs w:val="32"/>
        </w:rPr>
        <w:t>万元，实际支出金额</w:t>
      </w:r>
      <w:r>
        <w:rPr>
          <w:rFonts w:ascii="Times New Roman" w:eastAsia="仿宋_GB2312" w:hAnsi="Times New Roman" w:hint="eastAsia"/>
          <w:bCs/>
          <w:sz w:val="32"/>
          <w:szCs w:val="32"/>
        </w:rPr>
        <w:t>31077.47</w:t>
      </w:r>
      <w:r>
        <w:rPr>
          <w:rFonts w:ascii="Times New Roman" w:eastAsia="仿宋_GB2312" w:hAnsi="Times New Roman" w:hint="eastAsia"/>
          <w:bCs/>
          <w:sz w:val="32"/>
          <w:szCs w:val="32"/>
        </w:rPr>
        <w:t>万元，比年初预算数增加</w:t>
      </w:r>
      <w:r>
        <w:rPr>
          <w:rFonts w:ascii="Times New Roman" w:eastAsia="仿宋_GB2312" w:hAnsi="Times New Roman" w:hint="eastAsia"/>
          <w:bCs/>
          <w:sz w:val="32"/>
          <w:szCs w:val="32"/>
        </w:rPr>
        <w:t>19179.14</w:t>
      </w:r>
      <w:r>
        <w:rPr>
          <w:rFonts w:ascii="Times New Roman" w:eastAsia="仿宋_GB2312" w:hAnsi="Times New Roman" w:hint="eastAsia"/>
          <w:bCs/>
          <w:sz w:val="32"/>
          <w:szCs w:val="32"/>
        </w:rPr>
        <w:t>万元，部门预决算差异率为</w:t>
      </w:r>
      <w:r>
        <w:rPr>
          <w:rFonts w:ascii="Times New Roman" w:eastAsia="仿宋_GB2312" w:hAnsi="Times New Roman" w:hint="eastAsia"/>
          <w:bCs/>
          <w:sz w:val="32"/>
          <w:szCs w:val="32"/>
        </w:rPr>
        <w:t>161.19%</w:t>
      </w:r>
      <w:r>
        <w:rPr>
          <w:rFonts w:ascii="Times New Roman" w:eastAsia="仿宋_GB2312" w:hAnsi="Times New Roman" w:hint="eastAsia"/>
          <w:bCs/>
          <w:sz w:val="32"/>
          <w:szCs w:val="32"/>
        </w:rPr>
        <w:t>，主要原因是年中追加</w:t>
      </w:r>
      <w:r w:rsidR="00E87FC4">
        <w:rPr>
          <w:rFonts w:ascii="Times New Roman" w:eastAsia="仿宋_GB2312" w:hAnsi="Times New Roman" w:hint="eastAsia"/>
          <w:bCs/>
          <w:sz w:val="32"/>
          <w:szCs w:val="32"/>
        </w:rPr>
        <w:t>基本建设类</w:t>
      </w:r>
      <w:r>
        <w:rPr>
          <w:rFonts w:ascii="Times New Roman" w:eastAsia="仿宋_GB2312" w:hAnsi="Times New Roman" w:hint="eastAsia"/>
          <w:bCs/>
          <w:sz w:val="32"/>
          <w:szCs w:val="32"/>
        </w:rPr>
        <w:t>项目经费。</w:t>
      </w:r>
    </w:p>
    <w:p w:rsidR="0038608B" w:rsidRDefault="00FA51B8">
      <w:pPr>
        <w:snapToGrid w:val="0"/>
        <w:spacing w:line="580" w:lineRule="exact"/>
        <w:ind w:firstLineChars="200" w:firstLine="640"/>
        <w:outlineLvl w:val="1"/>
        <w:rPr>
          <w:rFonts w:ascii="黑体" w:eastAsia="黑体" w:hAnsi="黑体"/>
          <w:sz w:val="32"/>
          <w:szCs w:val="32"/>
        </w:rPr>
      </w:pPr>
      <w:bookmarkStart w:id="17" w:name="_Toc106001819"/>
      <w:r>
        <w:rPr>
          <w:rFonts w:ascii="黑体" w:eastAsia="黑体" w:hAnsi="黑体" w:hint="eastAsia"/>
          <w:sz w:val="32"/>
          <w:szCs w:val="32"/>
        </w:rPr>
        <w:t>五、总体评价结论</w:t>
      </w:r>
      <w:bookmarkEnd w:id="17"/>
    </w:p>
    <w:p w:rsidR="0038608B" w:rsidRDefault="00FA51B8">
      <w:pPr>
        <w:snapToGrid w:val="0"/>
        <w:spacing w:line="580" w:lineRule="exact"/>
        <w:ind w:firstLineChars="200" w:firstLine="643"/>
        <w:outlineLvl w:val="1"/>
        <w:rPr>
          <w:rFonts w:ascii="楷体_GB2312" w:eastAsia="楷体_GB2312" w:hAnsi="楷体_GB2312" w:cs="楷体_GB2312"/>
          <w:b/>
          <w:sz w:val="32"/>
          <w:szCs w:val="32"/>
        </w:rPr>
      </w:pPr>
      <w:bookmarkStart w:id="18" w:name="_Toc106001820"/>
      <w:r>
        <w:rPr>
          <w:rFonts w:ascii="楷体_GB2312" w:eastAsia="楷体_GB2312" w:hAnsi="楷体_GB2312" w:cs="楷体_GB2312" w:hint="eastAsia"/>
          <w:b/>
          <w:sz w:val="32"/>
          <w:szCs w:val="32"/>
        </w:rPr>
        <w:t>（一）评价得分情况</w:t>
      </w:r>
      <w:bookmarkEnd w:id="18"/>
    </w:p>
    <w:p w:rsidR="0038608B" w:rsidRDefault="00FA51B8">
      <w:pPr>
        <w:snapToGrid w:val="0"/>
        <w:spacing w:line="580" w:lineRule="exact"/>
        <w:ind w:firstLineChars="200" w:firstLine="640"/>
        <w:rPr>
          <w:rFonts w:ascii="仿宋_GB2312" w:eastAsia="仿宋_GB2312"/>
          <w:sz w:val="32"/>
          <w:szCs w:val="32"/>
          <w:shd w:val="pct10" w:color="auto" w:fill="FFFFFF"/>
        </w:rPr>
      </w:pPr>
      <w:r>
        <w:rPr>
          <w:rFonts w:ascii="Times New Roman" w:eastAsia="仿宋_GB2312" w:hAnsi="Times New Roman" w:hint="eastAsia"/>
          <w:bCs/>
          <w:sz w:val="32"/>
          <w:szCs w:val="32"/>
        </w:rPr>
        <w:t>本次部门整体绩效评价通过全面、客观地分析，最终得</w:t>
      </w:r>
      <w:r>
        <w:rPr>
          <w:rFonts w:ascii="Times New Roman" w:eastAsia="仿宋_GB2312" w:hAnsi="Times New Roman" w:hint="eastAsia"/>
          <w:bCs/>
          <w:sz w:val="32"/>
          <w:szCs w:val="32"/>
        </w:rPr>
        <w:lastRenderedPageBreak/>
        <w:t>分为</w:t>
      </w:r>
      <w:r>
        <w:rPr>
          <w:rFonts w:ascii="Times New Roman" w:eastAsia="仿宋_GB2312" w:hAnsi="Times New Roman" w:hint="eastAsia"/>
          <w:bCs/>
          <w:sz w:val="32"/>
          <w:szCs w:val="32"/>
        </w:rPr>
        <w:t>95.26</w:t>
      </w:r>
      <w:r>
        <w:rPr>
          <w:rFonts w:ascii="Times New Roman" w:eastAsia="仿宋_GB2312" w:hAnsi="Times New Roman" w:hint="eastAsia"/>
          <w:bCs/>
          <w:sz w:val="32"/>
          <w:szCs w:val="32"/>
        </w:rPr>
        <w:t>分，综合评价等级为“优秀”。其中：预算执行情况</w:t>
      </w:r>
      <w:r>
        <w:rPr>
          <w:rFonts w:ascii="Times New Roman" w:eastAsia="仿宋_GB2312" w:hAnsi="Times New Roman" w:hint="eastAsia"/>
          <w:bCs/>
          <w:sz w:val="32"/>
          <w:szCs w:val="32"/>
        </w:rPr>
        <w:t>17.93</w:t>
      </w:r>
      <w:r>
        <w:rPr>
          <w:rFonts w:ascii="Times New Roman" w:eastAsia="仿宋_GB2312" w:hAnsi="Times New Roman" w:hint="eastAsia"/>
          <w:bCs/>
          <w:sz w:val="32"/>
          <w:szCs w:val="32"/>
        </w:rPr>
        <w:t>分，整体绩效目标实现情况</w:t>
      </w:r>
      <w:r>
        <w:rPr>
          <w:rFonts w:ascii="Times New Roman" w:eastAsia="仿宋_GB2312" w:hAnsi="Times New Roman" w:hint="eastAsia"/>
          <w:bCs/>
          <w:sz w:val="32"/>
          <w:szCs w:val="32"/>
        </w:rPr>
        <w:t>57.33</w:t>
      </w:r>
      <w:r>
        <w:rPr>
          <w:rFonts w:ascii="Times New Roman" w:eastAsia="仿宋_GB2312" w:hAnsi="Times New Roman" w:hint="eastAsia"/>
          <w:bCs/>
          <w:sz w:val="32"/>
          <w:szCs w:val="32"/>
        </w:rPr>
        <w:t>分，预算管理情况</w:t>
      </w:r>
      <w:r>
        <w:rPr>
          <w:rFonts w:ascii="Times New Roman" w:eastAsia="仿宋_GB2312" w:hAnsi="Times New Roman" w:hint="eastAsia"/>
          <w:bCs/>
          <w:sz w:val="32"/>
          <w:szCs w:val="32"/>
        </w:rPr>
        <w:t>20</w:t>
      </w:r>
      <w:r>
        <w:rPr>
          <w:rFonts w:ascii="Times New Roman" w:eastAsia="仿宋_GB2312" w:hAnsi="Times New Roman" w:hint="eastAsia"/>
          <w:bCs/>
          <w:sz w:val="32"/>
          <w:szCs w:val="32"/>
        </w:rPr>
        <w:t>分，具体评分见《北京市地震局</w:t>
      </w:r>
      <w:r>
        <w:rPr>
          <w:rFonts w:ascii="Times New Roman" w:eastAsia="仿宋_GB2312" w:hAnsi="Times New Roman" w:hint="eastAsia"/>
          <w:bCs/>
          <w:sz w:val="32"/>
          <w:szCs w:val="32"/>
        </w:rPr>
        <w:t>2024</w:t>
      </w:r>
      <w:r>
        <w:rPr>
          <w:rFonts w:ascii="Times New Roman" w:eastAsia="仿宋_GB2312" w:hAnsi="Times New Roman" w:hint="eastAsia"/>
          <w:bCs/>
          <w:sz w:val="32"/>
          <w:szCs w:val="32"/>
        </w:rPr>
        <w:t>年度部门整体绩效评价评分表》。</w:t>
      </w:r>
    </w:p>
    <w:p w:rsidR="0038608B" w:rsidRDefault="00FA51B8">
      <w:pPr>
        <w:snapToGrid w:val="0"/>
        <w:spacing w:line="580" w:lineRule="exact"/>
        <w:ind w:firstLineChars="200" w:firstLine="643"/>
        <w:outlineLvl w:val="1"/>
        <w:rPr>
          <w:rFonts w:ascii="楷体_GB2312" w:eastAsia="楷体_GB2312" w:hAnsi="楷体_GB2312" w:cs="楷体_GB2312"/>
          <w:b/>
          <w:sz w:val="32"/>
          <w:szCs w:val="32"/>
        </w:rPr>
      </w:pPr>
      <w:bookmarkStart w:id="19" w:name="_Toc106001821"/>
      <w:r>
        <w:rPr>
          <w:rFonts w:ascii="楷体_GB2312" w:eastAsia="楷体_GB2312" w:hAnsi="楷体_GB2312" w:cs="楷体_GB2312" w:hint="eastAsia"/>
          <w:b/>
          <w:sz w:val="32"/>
          <w:szCs w:val="32"/>
        </w:rPr>
        <w:t>（二）存在的问题及原因分析</w:t>
      </w:r>
      <w:bookmarkEnd w:id="19"/>
    </w:p>
    <w:p w:rsidR="002051F0" w:rsidRDefault="002051F0" w:rsidP="002051F0">
      <w:pPr>
        <w:snapToGrid w:val="0"/>
        <w:spacing w:line="580" w:lineRule="exact"/>
        <w:ind w:firstLineChars="200" w:firstLine="643"/>
        <w:outlineLvl w:val="1"/>
        <w:rPr>
          <w:rFonts w:ascii="Times New Roman" w:eastAsia="仿宋_GB2312" w:hAnsi="Times New Roman"/>
          <w:b/>
          <w:sz w:val="32"/>
          <w:szCs w:val="32"/>
        </w:rPr>
      </w:pPr>
      <w:r>
        <w:rPr>
          <w:rFonts w:ascii="Times New Roman" w:eastAsia="仿宋_GB2312" w:hAnsi="Times New Roman" w:hint="eastAsia"/>
          <w:b/>
          <w:sz w:val="32"/>
          <w:szCs w:val="32"/>
        </w:rPr>
        <w:t>1.</w:t>
      </w:r>
      <w:r>
        <w:rPr>
          <w:rFonts w:ascii="Times New Roman" w:eastAsia="仿宋_GB2312" w:hAnsi="Times New Roman" w:hint="eastAsia"/>
          <w:b/>
          <w:sz w:val="32"/>
          <w:szCs w:val="32"/>
        </w:rPr>
        <w:t>绩效自评工作规范性有待加强</w:t>
      </w:r>
    </w:p>
    <w:p w:rsidR="002051F0" w:rsidRDefault="002051F0" w:rsidP="002051F0">
      <w:pPr>
        <w:snapToGrid w:val="0"/>
        <w:spacing w:line="580" w:lineRule="exact"/>
        <w:ind w:firstLineChars="200" w:firstLine="640"/>
        <w:outlineLvl w:val="1"/>
        <w:rPr>
          <w:rFonts w:ascii="Times New Roman" w:eastAsia="仿宋_GB2312" w:hAnsi="Times New Roman"/>
          <w:bCs/>
          <w:sz w:val="32"/>
          <w:szCs w:val="32"/>
        </w:rPr>
      </w:pPr>
      <w:r>
        <w:rPr>
          <w:rFonts w:ascii="Times New Roman" w:eastAsia="仿宋_GB2312" w:hAnsi="Times New Roman" w:hint="eastAsia"/>
          <w:bCs/>
          <w:sz w:val="32"/>
          <w:szCs w:val="32"/>
        </w:rPr>
        <w:t>经对项目负责人提交的项目支出绩效自评表进行审核，发现存在关键数据填报准确性不足，全年执行数填写不准确。反映出部分项目负责人对绩效自评工作的规范要求理解不够深入，自评工作标准化程度有待提高。</w:t>
      </w:r>
    </w:p>
    <w:p w:rsidR="0038608B" w:rsidRDefault="00E94E93">
      <w:pPr>
        <w:snapToGrid w:val="0"/>
        <w:spacing w:line="580" w:lineRule="exact"/>
        <w:ind w:firstLineChars="200" w:firstLine="643"/>
        <w:outlineLvl w:val="1"/>
        <w:rPr>
          <w:rFonts w:ascii="Times New Roman" w:eastAsia="仿宋_GB2312" w:hAnsi="Times New Roman"/>
          <w:b/>
          <w:sz w:val="32"/>
          <w:szCs w:val="32"/>
        </w:rPr>
      </w:pPr>
      <w:r>
        <w:rPr>
          <w:rFonts w:ascii="Times New Roman" w:eastAsia="仿宋_GB2312" w:hAnsi="Times New Roman"/>
          <w:b/>
          <w:sz w:val="32"/>
          <w:szCs w:val="32"/>
        </w:rPr>
        <w:t>2</w:t>
      </w:r>
      <w:r w:rsidR="00FA51B8">
        <w:rPr>
          <w:rFonts w:ascii="Times New Roman" w:eastAsia="仿宋_GB2312" w:hAnsi="Times New Roman" w:hint="eastAsia"/>
          <w:b/>
          <w:sz w:val="32"/>
          <w:szCs w:val="32"/>
        </w:rPr>
        <w:t>.</w:t>
      </w:r>
      <w:r w:rsidR="00FA51B8">
        <w:rPr>
          <w:rFonts w:ascii="Times New Roman" w:eastAsia="仿宋_GB2312" w:hAnsi="Times New Roman" w:hint="eastAsia"/>
          <w:b/>
          <w:sz w:val="32"/>
          <w:szCs w:val="32"/>
        </w:rPr>
        <w:t>绩效指标设置科学性有待提升</w:t>
      </w:r>
    </w:p>
    <w:p w:rsidR="004D61C9" w:rsidRDefault="00FA51B8">
      <w:pPr>
        <w:snapToGrid w:val="0"/>
        <w:spacing w:line="580" w:lineRule="exact"/>
        <w:ind w:firstLineChars="200" w:firstLine="640"/>
        <w:outlineLvl w:val="1"/>
        <w:rPr>
          <w:rFonts w:ascii="Times New Roman" w:eastAsia="仿宋_GB2312" w:hAnsi="Times New Roman"/>
          <w:bCs/>
          <w:sz w:val="32"/>
          <w:szCs w:val="32"/>
        </w:rPr>
      </w:pPr>
      <w:r>
        <w:rPr>
          <w:rFonts w:ascii="Times New Roman" w:eastAsia="仿宋_GB2312" w:hAnsi="Times New Roman" w:hint="eastAsia"/>
          <w:bCs/>
          <w:sz w:val="32"/>
          <w:szCs w:val="32"/>
        </w:rPr>
        <w:t>在本次绩效评价过程中发现，个别项目在绩效指标设置上存在不足，特别是质量指标的缺失，导致对项目产出成效的评估缺乏客观依据。</w:t>
      </w:r>
      <w:bookmarkStart w:id="20" w:name="_Toc106001822"/>
    </w:p>
    <w:p w:rsidR="0038608B" w:rsidRDefault="00FA51B8">
      <w:pPr>
        <w:snapToGrid w:val="0"/>
        <w:spacing w:line="580" w:lineRule="exact"/>
        <w:ind w:firstLineChars="200" w:firstLine="640"/>
        <w:outlineLvl w:val="1"/>
        <w:rPr>
          <w:rFonts w:ascii="黑体" w:eastAsia="黑体" w:hAnsi="黑体"/>
          <w:sz w:val="32"/>
          <w:szCs w:val="32"/>
        </w:rPr>
      </w:pPr>
      <w:r>
        <w:rPr>
          <w:rFonts w:ascii="黑体" w:eastAsia="黑体" w:hAnsi="黑体" w:hint="eastAsia"/>
          <w:sz w:val="32"/>
          <w:szCs w:val="32"/>
        </w:rPr>
        <w:t>六、措施建议</w:t>
      </w:r>
      <w:bookmarkEnd w:id="20"/>
    </w:p>
    <w:p w:rsidR="0038608B" w:rsidRDefault="00FA51B8">
      <w:pPr>
        <w:snapToGrid w:val="0"/>
        <w:spacing w:line="580" w:lineRule="exact"/>
        <w:ind w:firstLineChars="200" w:firstLine="643"/>
        <w:outlineLvl w:val="1"/>
        <w:rPr>
          <w:rFonts w:ascii="楷体_GB2312" w:eastAsia="楷体_GB2312" w:hAnsi="楷体_GB2312" w:cs="楷体_GB2312"/>
          <w:b/>
          <w:sz w:val="32"/>
          <w:szCs w:val="32"/>
        </w:rPr>
      </w:pPr>
      <w:r>
        <w:rPr>
          <w:rFonts w:ascii="楷体_GB2312" w:eastAsia="楷体_GB2312" w:hAnsi="楷体_GB2312" w:cs="楷体_GB2312" w:hint="eastAsia"/>
          <w:b/>
          <w:sz w:val="32"/>
          <w:szCs w:val="32"/>
        </w:rPr>
        <w:t>（一）多</w:t>
      </w:r>
      <w:proofErr w:type="gramStart"/>
      <w:r>
        <w:rPr>
          <w:rFonts w:ascii="楷体_GB2312" w:eastAsia="楷体_GB2312" w:hAnsi="楷体_GB2312" w:cs="楷体_GB2312" w:hint="eastAsia"/>
          <w:b/>
          <w:sz w:val="32"/>
          <w:szCs w:val="32"/>
        </w:rPr>
        <w:t>措</w:t>
      </w:r>
      <w:proofErr w:type="gramEnd"/>
      <w:r>
        <w:rPr>
          <w:rFonts w:ascii="楷体_GB2312" w:eastAsia="楷体_GB2312" w:hAnsi="楷体_GB2312" w:cs="楷体_GB2312" w:hint="eastAsia"/>
          <w:b/>
          <w:sz w:val="32"/>
          <w:szCs w:val="32"/>
        </w:rPr>
        <w:t>并举提升绩效自评工作质量</w:t>
      </w:r>
    </w:p>
    <w:p w:rsidR="0038608B" w:rsidRDefault="00FA51B8">
      <w:pPr>
        <w:snapToGrid w:val="0"/>
        <w:spacing w:line="580" w:lineRule="exact"/>
        <w:ind w:firstLineChars="200" w:firstLine="640"/>
        <w:outlineLvl w:val="1"/>
        <w:rPr>
          <w:rFonts w:ascii="Times New Roman" w:eastAsia="仿宋_GB2312" w:hAnsi="Times New Roman"/>
          <w:bCs/>
          <w:sz w:val="32"/>
          <w:szCs w:val="32"/>
        </w:rPr>
      </w:pPr>
      <w:r>
        <w:rPr>
          <w:rFonts w:ascii="Times New Roman" w:eastAsia="仿宋_GB2312" w:hAnsi="Times New Roman" w:hint="eastAsia"/>
          <w:bCs/>
          <w:sz w:val="32"/>
          <w:szCs w:val="32"/>
        </w:rPr>
        <w:t>一是加强业务培训指导，建议定期组织绩效管理专题培训，重点讲解绩效目标编制、自评表填报等实务操作。二是完善审核机制，重点核查指标合理性和可操作性，确保数据真实准确。三是建立整改制度，对发现的问题及时反馈并督促整改。通过以上措施，切实提升绩效自评工作的规范性和准确性，为预算绩效管理提供可靠基础。</w:t>
      </w:r>
    </w:p>
    <w:p w:rsidR="0038608B" w:rsidRDefault="00FA51B8">
      <w:pPr>
        <w:snapToGrid w:val="0"/>
        <w:spacing w:line="580" w:lineRule="exact"/>
        <w:ind w:firstLineChars="200" w:firstLine="643"/>
        <w:outlineLvl w:val="1"/>
        <w:rPr>
          <w:rFonts w:ascii="楷体_GB2312" w:eastAsia="楷体_GB2312" w:hAnsi="楷体_GB2312" w:cs="楷体_GB2312"/>
          <w:b/>
          <w:sz w:val="32"/>
          <w:szCs w:val="32"/>
        </w:rPr>
      </w:pPr>
      <w:r>
        <w:rPr>
          <w:rFonts w:ascii="楷体_GB2312" w:eastAsia="楷体_GB2312" w:hAnsi="楷体_GB2312" w:cs="楷体_GB2312" w:hint="eastAsia"/>
          <w:b/>
          <w:sz w:val="32"/>
          <w:szCs w:val="32"/>
        </w:rPr>
        <w:t>（二）增强绩效指标设置科学合理性</w:t>
      </w:r>
    </w:p>
    <w:p w:rsidR="0038608B" w:rsidRDefault="00FA51B8">
      <w:pPr>
        <w:snapToGrid w:val="0"/>
        <w:spacing w:line="580" w:lineRule="exact"/>
        <w:ind w:firstLineChars="200" w:firstLine="640"/>
        <w:outlineLvl w:val="1"/>
        <w:rPr>
          <w:rFonts w:ascii="Times New Roman" w:eastAsia="仿宋_GB2312" w:hAnsi="Times New Roman"/>
          <w:bCs/>
          <w:sz w:val="32"/>
          <w:szCs w:val="32"/>
        </w:rPr>
      </w:pPr>
      <w:r>
        <w:rPr>
          <w:rFonts w:ascii="Times New Roman" w:eastAsia="仿宋_GB2312" w:hAnsi="Times New Roman" w:hint="eastAsia"/>
          <w:bCs/>
          <w:sz w:val="32"/>
          <w:szCs w:val="32"/>
        </w:rPr>
        <w:lastRenderedPageBreak/>
        <w:t>建议在后续绩效管理工作中，重点加强质量指标体系建设。一方面，针对科研类项目可增设成果转化率、核心期刊发表比例、专利授权率等质量指标；另一方面，对技术保障类项目应补充验收通过合格率、系统运行稳定率等质量指标。通过构建包含产出数量、产出质量和效益的科学绩效指标体系，全面提升绩效指标的科学性和导向性，为财政资金精准投入和防震减灾能力提升提供更有力的决策支撑。</w:t>
      </w:r>
    </w:p>
    <w:p w:rsidR="0038608B" w:rsidRDefault="0038608B">
      <w:pPr>
        <w:snapToGrid w:val="0"/>
        <w:spacing w:line="580" w:lineRule="exact"/>
        <w:ind w:firstLineChars="200" w:firstLine="640"/>
        <w:outlineLvl w:val="1"/>
        <w:rPr>
          <w:rFonts w:ascii="Times New Roman" w:eastAsia="仿宋_GB2312" w:hAnsi="Times New Roman"/>
          <w:bCs/>
          <w:sz w:val="32"/>
          <w:szCs w:val="32"/>
        </w:rPr>
      </w:pPr>
    </w:p>
    <w:p w:rsidR="0038608B" w:rsidRDefault="00FA51B8">
      <w:pPr>
        <w:snapToGrid w:val="0"/>
        <w:spacing w:line="580" w:lineRule="exact"/>
        <w:ind w:firstLineChars="200" w:firstLine="622"/>
        <w:outlineLvl w:val="1"/>
        <w:rPr>
          <w:rFonts w:ascii="仿宋_GB2312" w:eastAsia="仿宋_GB2312"/>
          <w:sz w:val="32"/>
          <w:szCs w:val="32"/>
        </w:rPr>
        <w:sectPr w:rsidR="0038608B">
          <w:footerReference w:type="default" r:id="rId8"/>
          <w:pgSz w:w="11906" w:h="16838"/>
          <w:pgMar w:top="1587" w:right="2098" w:bottom="1474" w:left="1587" w:header="851" w:footer="992" w:gutter="0"/>
          <w:pgNumType w:start="1"/>
          <w:cols w:space="0"/>
          <w:docGrid w:type="lines" w:linePitch="312"/>
        </w:sectPr>
      </w:pPr>
      <w:r w:rsidRPr="00E94E93">
        <w:rPr>
          <w:rFonts w:ascii="Times New Roman" w:eastAsia="仿宋_GB2312" w:hAnsi="Times New Roman" w:hint="eastAsia"/>
          <w:bCs/>
          <w:spacing w:val="3"/>
          <w:w w:val="96"/>
          <w:kern w:val="0"/>
          <w:sz w:val="32"/>
          <w:szCs w:val="32"/>
          <w:fitText w:val="7552" w:id="1619919840"/>
        </w:rPr>
        <w:t>附件</w:t>
      </w:r>
      <w:bookmarkStart w:id="21" w:name="_Toc20717"/>
      <w:r w:rsidRPr="00E94E93">
        <w:rPr>
          <w:rFonts w:ascii="Times New Roman" w:eastAsia="仿宋_GB2312" w:hAnsi="Times New Roman" w:hint="eastAsia"/>
          <w:bCs/>
          <w:spacing w:val="3"/>
          <w:w w:val="96"/>
          <w:kern w:val="0"/>
          <w:sz w:val="32"/>
          <w:szCs w:val="32"/>
          <w:fitText w:val="7552" w:id="1619919840"/>
        </w:rPr>
        <w:t>：北京市地震局</w:t>
      </w:r>
      <w:r w:rsidRPr="00E94E93">
        <w:rPr>
          <w:rFonts w:ascii="Times New Roman" w:eastAsia="仿宋_GB2312" w:hAnsi="Times New Roman" w:hint="eastAsia"/>
          <w:bCs/>
          <w:spacing w:val="3"/>
          <w:w w:val="96"/>
          <w:kern w:val="0"/>
          <w:sz w:val="32"/>
          <w:szCs w:val="32"/>
          <w:fitText w:val="7552" w:id="1619919840"/>
        </w:rPr>
        <w:t>2024</w:t>
      </w:r>
      <w:r w:rsidRPr="00E94E93">
        <w:rPr>
          <w:rFonts w:ascii="Times New Roman" w:eastAsia="仿宋_GB2312" w:hAnsi="Times New Roman" w:hint="eastAsia"/>
          <w:bCs/>
          <w:spacing w:val="3"/>
          <w:w w:val="96"/>
          <w:kern w:val="0"/>
          <w:sz w:val="32"/>
          <w:szCs w:val="32"/>
          <w:fitText w:val="7552" w:id="1619919840"/>
        </w:rPr>
        <w:t>年度部门整体绩效评价评分</w:t>
      </w:r>
      <w:r w:rsidRPr="00E94E93">
        <w:rPr>
          <w:rFonts w:ascii="Times New Roman" w:eastAsia="仿宋_GB2312" w:hAnsi="Times New Roman" w:hint="eastAsia"/>
          <w:bCs/>
          <w:spacing w:val="-32"/>
          <w:w w:val="96"/>
          <w:kern w:val="0"/>
          <w:sz w:val="32"/>
          <w:szCs w:val="32"/>
          <w:fitText w:val="7552" w:id="1619919840"/>
        </w:rPr>
        <w:t>表</w:t>
      </w:r>
      <w:bookmarkEnd w:id="21"/>
    </w:p>
    <w:p w:rsidR="0038608B" w:rsidRDefault="00FA51B8">
      <w:pPr>
        <w:pStyle w:val="af5"/>
        <w:rPr>
          <w:rFonts w:ascii="黑体" w:hAnsi="黑体" w:cs="黑体"/>
          <w:b w:val="0"/>
          <w:bCs/>
          <w:lang w:val="en-US"/>
        </w:rPr>
      </w:pPr>
      <w:r>
        <w:rPr>
          <w:rFonts w:ascii="黑体" w:hAnsi="黑体" w:cs="黑体" w:hint="eastAsia"/>
          <w:b w:val="0"/>
          <w:bCs/>
          <w:lang w:val="en-US"/>
        </w:rPr>
        <w:lastRenderedPageBreak/>
        <w:t>附件</w:t>
      </w:r>
    </w:p>
    <w:p w:rsidR="0038608B" w:rsidRDefault="00FA51B8">
      <w:pPr>
        <w:jc w:val="center"/>
        <w:rPr>
          <w:rFonts w:ascii="宋体" w:eastAsia="宋体" w:hAnsi="宋体" w:cs="宋体"/>
          <w:b/>
          <w:sz w:val="32"/>
          <w:szCs w:val="32"/>
        </w:rPr>
      </w:pPr>
      <w:r>
        <w:rPr>
          <w:rFonts w:ascii="宋体" w:eastAsia="宋体" w:hAnsi="宋体" w:cs="宋体" w:hint="eastAsia"/>
          <w:b/>
          <w:sz w:val="32"/>
          <w:szCs w:val="32"/>
        </w:rPr>
        <w:t>北京市地震局2024年度部门整体绩效评价评分表</w:t>
      </w:r>
    </w:p>
    <w:tbl>
      <w:tblPr>
        <w:tblW w:w="5281" w:type="pct"/>
        <w:jc w:val="center"/>
        <w:tblLayout w:type="fixed"/>
        <w:tblLook w:val="04A0" w:firstRow="1" w:lastRow="0" w:firstColumn="1" w:lastColumn="0" w:noHBand="0" w:noVBand="1"/>
      </w:tblPr>
      <w:tblGrid>
        <w:gridCol w:w="1419"/>
        <w:gridCol w:w="1385"/>
        <w:gridCol w:w="2589"/>
        <w:gridCol w:w="1462"/>
        <w:gridCol w:w="1271"/>
        <w:gridCol w:w="756"/>
        <w:gridCol w:w="689"/>
      </w:tblGrid>
      <w:tr w:rsidR="0038608B">
        <w:trPr>
          <w:trHeight w:val="624"/>
          <w:jc w:val="center"/>
        </w:trPr>
        <w:tc>
          <w:tcPr>
            <w:tcW w:w="741"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adjustRightInd w:val="0"/>
              <w:snapToGrid w:val="0"/>
              <w:jc w:val="center"/>
              <w:rPr>
                <w:rFonts w:ascii="Times New Roman" w:eastAsia="宋体" w:hAnsi="Times New Roman" w:cs="宋体"/>
                <w:b/>
                <w:bCs/>
                <w:color w:val="000000"/>
                <w:kern w:val="0"/>
                <w:szCs w:val="18"/>
              </w:rPr>
            </w:pPr>
            <w:r>
              <w:rPr>
                <w:rFonts w:ascii="Times New Roman" w:eastAsia="宋体" w:hAnsi="Times New Roman" w:cs="宋体" w:hint="eastAsia"/>
                <w:b/>
                <w:bCs/>
                <w:color w:val="000000"/>
                <w:kern w:val="0"/>
                <w:szCs w:val="18"/>
              </w:rPr>
              <w:t>一</w:t>
            </w:r>
            <w:r>
              <w:rPr>
                <w:rFonts w:ascii="Times New Roman" w:eastAsia="宋体" w:hAnsi="Times New Roman" w:cs="宋体"/>
                <w:b/>
                <w:bCs/>
                <w:color w:val="000000"/>
                <w:kern w:val="0"/>
                <w:szCs w:val="18"/>
              </w:rPr>
              <w:t>级指标</w:t>
            </w:r>
          </w:p>
        </w:tc>
        <w:tc>
          <w:tcPr>
            <w:tcW w:w="723"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adjustRightInd w:val="0"/>
              <w:snapToGrid w:val="0"/>
              <w:jc w:val="center"/>
              <w:rPr>
                <w:rFonts w:ascii="Times New Roman" w:eastAsia="宋体" w:hAnsi="Times New Roman" w:cs="宋体"/>
                <w:b/>
                <w:bCs/>
                <w:color w:val="000000"/>
                <w:kern w:val="0"/>
                <w:szCs w:val="18"/>
              </w:rPr>
            </w:pPr>
            <w:r>
              <w:rPr>
                <w:rFonts w:ascii="Times New Roman" w:eastAsia="宋体" w:hAnsi="Times New Roman" w:cs="宋体" w:hint="eastAsia"/>
                <w:b/>
                <w:bCs/>
                <w:color w:val="000000"/>
                <w:kern w:val="0"/>
                <w:szCs w:val="18"/>
              </w:rPr>
              <w:t>二</w:t>
            </w:r>
            <w:r>
              <w:rPr>
                <w:rFonts w:ascii="Times New Roman" w:eastAsia="宋体" w:hAnsi="Times New Roman" w:cs="宋体"/>
                <w:b/>
                <w:bCs/>
                <w:color w:val="000000"/>
                <w:kern w:val="0"/>
                <w:szCs w:val="18"/>
              </w:rPr>
              <w:t>级指标</w:t>
            </w:r>
          </w:p>
        </w:tc>
        <w:tc>
          <w:tcPr>
            <w:tcW w:w="1351"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adjustRightInd w:val="0"/>
              <w:snapToGrid w:val="0"/>
              <w:jc w:val="center"/>
              <w:rPr>
                <w:rFonts w:ascii="Times New Roman" w:eastAsia="宋体" w:hAnsi="Times New Roman" w:cs="宋体"/>
                <w:b/>
                <w:bCs/>
                <w:color w:val="000000"/>
                <w:kern w:val="0"/>
                <w:szCs w:val="18"/>
              </w:rPr>
            </w:pPr>
            <w:r>
              <w:rPr>
                <w:rFonts w:ascii="Times New Roman" w:eastAsia="宋体" w:hAnsi="Times New Roman" w:cs="宋体" w:hint="eastAsia"/>
                <w:b/>
                <w:bCs/>
                <w:color w:val="000000"/>
                <w:kern w:val="0"/>
                <w:szCs w:val="18"/>
              </w:rPr>
              <w:t>预算数（万元）</w:t>
            </w:r>
          </w:p>
        </w:tc>
        <w:tc>
          <w:tcPr>
            <w:tcW w:w="764"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adjustRightInd w:val="0"/>
              <w:snapToGrid w:val="0"/>
              <w:jc w:val="center"/>
              <w:rPr>
                <w:rFonts w:ascii="Times New Roman" w:eastAsia="宋体" w:hAnsi="Times New Roman" w:cs="宋体"/>
                <w:b/>
                <w:bCs/>
                <w:color w:val="000000"/>
                <w:kern w:val="0"/>
                <w:szCs w:val="18"/>
              </w:rPr>
            </w:pPr>
            <w:r>
              <w:rPr>
                <w:rFonts w:ascii="Times New Roman" w:eastAsia="宋体" w:hAnsi="Times New Roman" w:cs="宋体" w:hint="eastAsia"/>
                <w:b/>
                <w:bCs/>
                <w:color w:val="000000"/>
                <w:kern w:val="0"/>
                <w:szCs w:val="18"/>
              </w:rPr>
              <w:t>执行数（万元）</w:t>
            </w:r>
          </w:p>
        </w:tc>
        <w:tc>
          <w:tcPr>
            <w:tcW w:w="662"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adjustRightInd w:val="0"/>
              <w:snapToGrid w:val="0"/>
              <w:jc w:val="center"/>
              <w:rPr>
                <w:rFonts w:ascii="Times New Roman" w:eastAsia="宋体" w:hAnsi="Times New Roman" w:cs="宋体"/>
                <w:b/>
                <w:bCs/>
                <w:color w:val="000000"/>
                <w:kern w:val="0"/>
                <w:szCs w:val="18"/>
              </w:rPr>
            </w:pPr>
            <w:r>
              <w:rPr>
                <w:rFonts w:ascii="Times New Roman" w:eastAsia="宋体" w:hAnsi="Times New Roman" w:cs="宋体" w:hint="eastAsia"/>
                <w:b/>
                <w:bCs/>
                <w:color w:val="000000"/>
                <w:kern w:val="0"/>
                <w:szCs w:val="18"/>
              </w:rPr>
              <w:t>预算执行率</w:t>
            </w:r>
          </w:p>
        </w:tc>
        <w:tc>
          <w:tcPr>
            <w:tcW w:w="395"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adjustRightInd w:val="0"/>
              <w:snapToGrid w:val="0"/>
              <w:jc w:val="center"/>
              <w:rPr>
                <w:rFonts w:ascii="Times New Roman" w:eastAsia="宋体" w:hAnsi="Times New Roman" w:cs="宋体"/>
                <w:b/>
                <w:bCs/>
                <w:color w:val="000000"/>
                <w:kern w:val="0"/>
                <w:szCs w:val="18"/>
              </w:rPr>
            </w:pPr>
            <w:r>
              <w:rPr>
                <w:rFonts w:ascii="Times New Roman" w:eastAsia="宋体" w:hAnsi="Times New Roman" w:cs="宋体" w:hint="eastAsia"/>
                <w:b/>
                <w:bCs/>
                <w:color w:val="000000"/>
                <w:kern w:val="0"/>
                <w:szCs w:val="18"/>
              </w:rPr>
              <w:t>分值</w:t>
            </w:r>
          </w:p>
        </w:tc>
        <w:tc>
          <w:tcPr>
            <w:tcW w:w="360"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adjustRightInd w:val="0"/>
              <w:snapToGrid w:val="0"/>
              <w:jc w:val="center"/>
              <w:rPr>
                <w:rFonts w:ascii="Times New Roman" w:eastAsia="宋体" w:hAnsi="Times New Roman" w:cs="宋体"/>
                <w:b/>
                <w:bCs/>
                <w:color w:val="000000"/>
                <w:kern w:val="0"/>
                <w:szCs w:val="18"/>
              </w:rPr>
            </w:pPr>
            <w:r>
              <w:rPr>
                <w:rFonts w:ascii="Times New Roman" w:eastAsia="宋体" w:hAnsi="Times New Roman" w:cs="宋体" w:hint="eastAsia"/>
                <w:b/>
                <w:bCs/>
                <w:color w:val="000000"/>
                <w:kern w:val="0"/>
                <w:szCs w:val="18"/>
              </w:rPr>
              <w:t>得分</w:t>
            </w:r>
          </w:p>
        </w:tc>
      </w:tr>
      <w:tr w:rsidR="0038608B">
        <w:trPr>
          <w:trHeight w:val="624"/>
          <w:jc w:val="center"/>
        </w:trPr>
        <w:tc>
          <w:tcPr>
            <w:tcW w:w="741" w:type="pct"/>
            <w:vMerge w:val="restar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当年预算执行情况</w:t>
            </w:r>
          </w:p>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w:t>
            </w:r>
            <w:r>
              <w:rPr>
                <w:rFonts w:ascii="Times New Roman" w:eastAsia="宋体" w:hAnsi="Times New Roman" w:cs="宋体" w:hint="eastAsia"/>
                <w:color w:val="000000"/>
                <w:kern w:val="0"/>
                <w:szCs w:val="18"/>
              </w:rPr>
              <w:t>20</w:t>
            </w:r>
            <w:r>
              <w:rPr>
                <w:rFonts w:ascii="Times New Roman" w:eastAsia="宋体" w:hAnsi="Times New Roman" w:cs="宋体" w:hint="eastAsia"/>
                <w:color w:val="000000"/>
                <w:kern w:val="0"/>
                <w:szCs w:val="18"/>
              </w:rPr>
              <w:t>）</w:t>
            </w:r>
          </w:p>
        </w:tc>
        <w:tc>
          <w:tcPr>
            <w:tcW w:w="723"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资金总体</w:t>
            </w:r>
          </w:p>
        </w:tc>
        <w:tc>
          <w:tcPr>
            <w:tcW w:w="1351"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34662.93</w:t>
            </w:r>
          </w:p>
        </w:tc>
        <w:tc>
          <w:tcPr>
            <w:tcW w:w="764"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31077.47</w:t>
            </w:r>
          </w:p>
        </w:tc>
        <w:tc>
          <w:tcPr>
            <w:tcW w:w="662"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89.66%</w:t>
            </w:r>
          </w:p>
        </w:tc>
        <w:tc>
          <w:tcPr>
            <w:tcW w:w="395" w:type="pct"/>
            <w:vMerge w:val="restart"/>
            <w:tcBorders>
              <w:top w:val="single" w:sz="4" w:space="0" w:color="auto"/>
              <w:left w:val="single" w:sz="4" w:space="0" w:color="auto"/>
              <w:bottom w:val="single" w:sz="4" w:space="0" w:color="auto"/>
              <w:right w:val="single" w:sz="4" w:space="0" w:color="auto"/>
            </w:tcBorders>
            <w:noWrap/>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20.00</w:t>
            </w:r>
          </w:p>
        </w:tc>
        <w:tc>
          <w:tcPr>
            <w:tcW w:w="360" w:type="pct"/>
            <w:vMerge w:val="restart"/>
            <w:tcBorders>
              <w:top w:val="single" w:sz="4" w:space="0" w:color="auto"/>
              <w:left w:val="single" w:sz="4" w:space="0" w:color="auto"/>
              <w:bottom w:val="single" w:sz="4" w:space="0" w:color="auto"/>
              <w:right w:val="single" w:sz="4" w:space="0" w:color="auto"/>
            </w:tcBorders>
            <w:noWrap/>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17.93</w:t>
            </w:r>
          </w:p>
        </w:tc>
      </w:tr>
      <w:tr w:rsidR="0038608B">
        <w:trPr>
          <w:trHeight w:val="624"/>
          <w:jc w:val="center"/>
        </w:trPr>
        <w:tc>
          <w:tcPr>
            <w:tcW w:w="741" w:type="pct"/>
            <w:vMerge/>
            <w:tcBorders>
              <w:top w:val="single" w:sz="4" w:space="0" w:color="auto"/>
              <w:left w:val="single" w:sz="4" w:space="0" w:color="auto"/>
              <w:bottom w:val="single" w:sz="4" w:space="0" w:color="auto"/>
              <w:right w:val="single" w:sz="4" w:space="0" w:color="auto"/>
            </w:tcBorders>
            <w:vAlign w:val="center"/>
          </w:tcPr>
          <w:p w:rsidR="0038608B" w:rsidRDefault="0038608B">
            <w:pPr>
              <w:widowControl/>
              <w:jc w:val="left"/>
              <w:rPr>
                <w:rFonts w:ascii="Times New Roman" w:eastAsia="宋体" w:hAnsi="Times New Roman" w:cs="宋体"/>
                <w:color w:val="000000"/>
                <w:kern w:val="0"/>
                <w:szCs w:val="18"/>
              </w:rPr>
            </w:pPr>
          </w:p>
        </w:tc>
        <w:tc>
          <w:tcPr>
            <w:tcW w:w="723"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基本支出</w:t>
            </w:r>
          </w:p>
        </w:tc>
        <w:tc>
          <w:tcPr>
            <w:tcW w:w="1351"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5917.16</w:t>
            </w:r>
          </w:p>
        </w:tc>
        <w:tc>
          <w:tcPr>
            <w:tcW w:w="764"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5777.05</w:t>
            </w:r>
          </w:p>
        </w:tc>
        <w:tc>
          <w:tcPr>
            <w:tcW w:w="662"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97.63%;</w:t>
            </w:r>
          </w:p>
        </w:tc>
        <w:tc>
          <w:tcPr>
            <w:tcW w:w="395" w:type="pct"/>
            <w:vMerge/>
            <w:tcBorders>
              <w:top w:val="single" w:sz="4" w:space="0" w:color="auto"/>
              <w:left w:val="single" w:sz="4" w:space="0" w:color="auto"/>
              <w:bottom w:val="single" w:sz="4" w:space="0" w:color="auto"/>
              <w:right w:val="single" w:sz="4" w:space="0" w:color="auto"/>
            </w:tcBorders>
            <w:vAlign w:val="center"/>
          </w:tcPr>
          <w:p w:rsidR="0038608B" w:rsidRDefault="0038608B">
            <w:pPr>
              <w:widowControl/>
              <w:jc w:val="left"/>
              <w:rPr>
                <w:rFonts w:ascii="Times New Roman" w:eastAsia="宋体" w:hAnsi="Times New Roman" w:cs="宋体"/>
                <w:color w:val="000000"/>
                <w:kern w:val="0"/>
                <w:szCs w:val="18"/>
              </w:rPr>
            </w:pPr>
          </w:p>
        </w:tc>
        <w:tc>
          <w:tcPr>
            <w:tcW w:w="360" w:type="pct"/>
            <w:vMerge/>
            <w:tcBorders>
              <w:top w:val="single" w:sz="4" w:space="0" w:color="auto"/>
              <w:left w:val="single" w:sz="4" w:space="0" w:color="auto"/>
              <w:bottom w:val="single" w:sz="4" w:space="0" w:color="auto"/>
              <w:right w:val="single" w:sz="4" w:space="0" w:color="auto"/>
            </w:tcBorders>
            <w:vAlign w:val="center"/>
          </w:tcPr>
          <w:p w:rsidR="0038608B" w:rsidRDefault="0038608B">
            <w:pPr>
              <w:widowControl/>
              <w:jc w:val="left"/>
              <w:rPr>
                <w:rFonts w:ascii="Times New Roman" w:eastAsia="宋体" w:hAnsi="Times New Roman" w:cs="宋体"/>
                <w:color w:val="000000"/>
                <w:kern w:val="0"/>
                <w:szCs w:val="18"/>
              </w:rPr>
            </w:pPr>
          </w:p>
        </w:tc>
      </w:tr>
      <w:tr w:rsidR="0038608B">
        <w:trPr>
          <w:trHeight w:val="624"/>
          <w:jc w:val="center"/>
        </w:trPr>
        <w:tc>
          <w:tcPr>
            <w:tcW w:w="741" w:type="pct"/>
            <w:vMerge/>
            <w:tcBorders>
              <w:top w:val="single" w:sz="4" w:space="0" w:color="auto"/>
              <w:left w:val="single" w:sz="4" w:space="0" w:color="auto"/>
              <w:bottom w:val="single" w:sz="4" w:space="0" w:color="auto"/>
              <w:right w:val="single" w:sz="4" w:space="0" w:color="auto"/>
            </w:tcBorders>
            <w:vAlign w:val="center"/>
          </w:tcPr>
          <w:p w:rsidR="0038608B" w:rsidRDefault="0038608B">
            <w:pPr>
              <w:widowControl/>
              <w:jc w:val="left"/>
              <w:rPr>
                <w:rFonts w:ascii="Times New Roman" w:eastAsia="宋体" w:hAnsi="Times New Roman" w:cs="宋体"/>
                <w:color w:val="000000"/>
                <w:kern w:val="0"/>
                <w:szCs w:val="18"/>
              </w:rPr>
            </w:pPr>
          </w:p>
        </w:tc>
        <w:tc>
          <w:tcPr>
            <w:tcW w:w="723"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项目支出</w:t>
            </w:r>
          </w:p>
        </w:tc>
        <w:tc>
          <w:tcPr>
            <w:tcW w:w="1351"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color w:val="000000"/>
                <w:kern w:val="0"/>
                <w:szCs w:val="18"/>
              </w:rPr>
              <w:t>28745.77</w:t>
            </w:r>
          </w:p>
        </w:tc>
        <w:tc>
          <w:tcPr>
            <w:tcW w:w="764"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25300.42</w:t>
            </w:r>
          </w:p>
        </w:tc>
        <w:tc>
          <w:tcPr>
            <w:tcW w:w="662"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88.01%</w:t>
            </w:r>
          </w:p>
        </w:tc>
        <w:tc>
          <w:tcPr>
            <w:tcW w:w="395" w:type="pct"/>
            <w:vMerge/>
            <w:tcBorders>
              <w:top w:val="single" w:sz="4" w:space="0" w:color="auto"/>
              <w:left w:val="single" w:sz="4" w:space="0" w:color="auto"/>
              <w:bottom w:val="single" w:sz="4" w:space="0" w:color="auto"/>
              <w:right w:val="single" w:sz="4" w:space="0" w:color="auto"/>
            </w:tcBorders>
            <w:vAlign w:val="center"/>
          </w:tcPr>
          <w:p w:rsidR="0038608B" w:rsidRDefault="0038608B">
            <w:pPr>
              <w:widowControl/>
              <w:jc w:val="left"/>
              <w:rPr>
                <w:rFonts w:ascii="Times New Roman" w:eastAsia="宋体" w:hAnsi="Times New Roman" w:cs="宋体"/>
                <w:color w:val="000000"/>
                <w:kern w:val="0"/>
                <w:szCs w:val="18"/>
              </w:rPr>
            </w:pPr>
          </w:p>
        </w:tc>
        <w:tc>
          <w:tcPr>
            <w:tcW w:w="360" w:type="pct"/>
            <w:vMerge/>
            <w:tcBorders>
              <w:top w:val="single" w:sz="4" w:space="0" w:color="auto"/>
              <w:left w:val="single" w:sz="4" w:space="0" w:color="auto"/>
              <w:bottom w:val="single" w:sz="4" w:space="0" w:color="auto"/>
              <w:right w:val="single" w:sz="4" w:space="0" w:color="auto"/>
            </w:tcBorders>
            <w:vAlign w:val="center"/>
          </w:tcPr>
          <w:p w:rsidR="0038608B" w:rsidRDefault="0038608B">
            <w:pPr>
              <w:widowControl/>
              <w:jc w:val="left"/>
              <w:rPr>
                <w:rFonts w:ascii="Times New Roman" w:eastAsia="宋体" w:hAnsi="Times New Roman" w:cs="宋体"/>
                <w:color w:val="000000"/>
                <w:kern w:val="0"/>
                <w:szCs w:val="18"/>
              </w:rPr>
            </w:pPr>
          </w:p>
        </w:tc>
      </w:tr>
      <w:tr w:rsidR="0038608B">
        <w:trPr>
          <w:trHeight w:val="624"/>
          <w:jc w:val="center"/>
        </w:trPr>
        <w:tc>
          <w:tcPr>
            <w:tcW w:w="741" w:type="pct"/>
            <w:vMerge/>
            <w:tcBorders>
              <w:top w:val="single" w:sz="4" w:space="0" w:color="auto"/>
              <w:left w:val="single" w:sz="4" w:space="0" w:color="auto"/>
              <w:bottom w:val="single" w:sz="4" w:space="0" w:color="auto"/>
              <w:right w:val="single" w:sz="4" w:space="0" w:color="auto"/>
            </w:tcBorders>
            <w:vAlign w:val="center"/>
          </w:tcPr>
          <w:p w:rsidR="0038608B" w:rsidRDefault="0038608B">
            <w:pPr>
              <w:widowControl/>
              <w:jc w:val="left"/>
              <w:rPr>
                <w:rFonts w:ascii="Times New Roman" w:eastAsia="宋体" w:hAnsi="Times New Roman" w:cs="宋体"/>
                <w:color w:val="000000"/>
                <w:kern w:val="0"/>
                <w:szCs w:val="18"/>
              </w:rPr>
            </w:pPr>
          </w:p>
        </w:tc>
        <w:tc>
          <w:tcPr>
            <w:tcW w:w="723"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其他</w:t>
            </w:r>
          </w:p>
        </w:tc>
        <w:tc>
          <w:tcPr>
            <w:tcW w:w="1351"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w:t>
            </w:r>
          </w:p>
        </w:tc>
        <w:tc>
          <w:tcPr>
            <w:tcW w:w="764"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w:t>
            </w:r>
          </w:p>
        </w:tc>
        <w:tc>
          <w:tcPr>
            <w:tcW w:w="662"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w:t>
            </w:r>
          </w:p>
        </w:tc>
        <w:tc>
          <w:tcPr>
            <w:tcW w:w="395" w:type="pct"/>
            <w:vMerge/>
            <w:tcBorders>
              <w:top w:val="single" w:sz="4" w:space="0" w:color="auto"/>
              <w:left w:val="single" w:sz="4" w:space="0" w:color="auto"/>
              <w:bottom w:val="single" w:sz="4" w:space="0" w:color="auto"/>
              <w:right w:val="single" w:sz="4" w:space="0" w:color="auto"/>
            </w:tcBorders>
            <w:vAlign w:val="center"/>
          </w:tcPr>
          <w:p w:rsidR="0038608B" w:rsidRDefault="0038608B">
            <w:pPr>
              <w:widowControl/>
              <w:jc w:val="left"/>
              <w:rPr>
                <w:rFonts w:ascii="Times New Roman" w:eastAsia="宋体" w:hAnsi="Times New Roman" w:cs="宋体"/>
                <w:color w:val="000000"/>
                <w:kern w:val="0"/>
                <w:szCs w:val="18"/>
              </w:rPr>
            </w:pPr>
          </w:p>
        </w:tc>
        <w:tc>
          <w:tcPr>
            <w:tcW w:w="360" w:type="pct"/>
            <w:vMerge/>
            <w:tcBorders>
              <w:top w:val="single" w:sz="4" w:space="0" w:color="auto"/>
              <w:left w:val="single" w:sz="4" w:space="0" w:color="auto"/>
              <w:bottom w:val="single" w:sz="4" w:space="0" w:color="auto"/>
              <w:right w:val="single" w:sz="4" w:space="0" w:color="auto"/>
            </w:tcBorders>
            <w:vAlign w:val="center"/>
          </w:tcPr>
          <w:p w:rsidR="0038608B" w:rsidRDefault="0038608B">
            <w:pPr>
              <w:widowControl/>
              <w:jc w:val="left"/>
              <w:rPr>
                <w:rFonts w:ascii="Times New Roman" w:eastAsia="宋体" w:hAnsi="Times New Roman" w:cs="宋体"/>
                <w:color w:val="000000"/>
                <w:kern w:val="0"/>
                <w:szCs w:val="18"/>
              </w:rPr>
            </w:pPr>
          </w:p>
        </w:tc>
      </w:tr>
      <w:tr w:rsidR="0038608B">
        <w:trPr>
          <w:trHeight w:val="624"/>
          <w:jc w:val="center"/>
        </w:trPr>
        <w:tc>
          <w:tcPr>
            <w:tcW w:w="741"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b/>
                <w:bCs/>
                <w:color w:val="000000"/>
                <w:kern w:val="0"/>
                <w:szCs w:val="18"/>
              </w:rPr>
            </w:pPr>
            <w:r>
              <w:rPr>
                <w:rFonts w:ascii="Times New Roman" w:eastAsia="宋体" w:hAnsi="Times New Roman" w:cs="宋体" w:hint="eastAsia"/>
                <w:b/>
                <w:bCs/>
                <w:color w:val="000000"/>
                <w:kern w:val="0"/>
                <w:szCs w:val="18"/>
              </w:rPr>
              <w:t>一</w:t>
            </w:r>
            <w:r>
              <w:rPr>
                <w:rFonts w:ascii="Times New Roman" w:eastAsia="宋体" w:hAnsi="Times New Roman" w:cs="宋体"/>
                <w:b/>
                <w:bCs/>
                <w:color w:val="000000"/>
                <w:kern w:val="0"/>
                <w:szCs w:val="18"/>
              </w:rPr>
              <w:t>级指标</w:t>
            </w:r>
          </w:p>
        </w:tc>
        <w:tc>
          <w:tcPr>
            <w:tcW w:w="723"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b/>
                <w:bCs/>
                <w:color w:val="000000"/>
                <w:kern w:val="0"/>
                <w:szCs w:val="18"/>
              </w:rPr>
            </w:pPr>
            <w:r>
              <w:rPr>
                <w:rFonts w:ascii="Times New Roman" w:eastAsia="宋体" w:hAnsi="Times New Roman" w:cs="宋体" w:hint="eastAsia"/>
                <w:b/>
                <w:bCs/>
                <w:color w:val="000000"/>
                <w:kern w:val="0"/>
                <w:szCs w:val="18"/>
              </w:rPr>
              <w:t>二</w:t>
            </w:r>
            <w:r>
              <w:rPr>
                <w:rFonts w:ascii="Times New Roman" w:eastAsia="宋体" w:hAnsi="Times New Roman" w:cs="宋体"/>
                <w:b/>
                <w:bCs/>
                <w:color w:val="000000"/>
                <w:kern w:val="0"/>
                <w:szCs w:val="18"/>
              </w:rPr>
              <w:t>级指标</w:t>
            </w:r>
          </w:p>
        </w:tc>
        <w:tc>
          <w:tcPr>
            <w:tcW w:w="1351"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b/>
                <w:bCs/>
                <w:color w:val="000000"/>
                <w:kern w:val="0"/>
                <w:szCs w:val="18"/>
              </w:rPr>
            </w:pPr>
            <w:r>
              <w:rPr>
                <w:rFonts w:ascii="Times New Roman" w:eastAsia="宋体" w:hAnsi="Times New Roman" w:cs="宋体" w:hint="eastAsia"/>
                <w:b/>
                <w:bCs/>
                <w:color w:val="000000"/>
                <w:kern w:val="0"/>
                <w:szCs w:val="18"/>
              </w:rPr>
              <w:t>三</w:t>
            </w:r>
            <w:r>
              <w:rPr>
                <w:rFonts w:ascii="Times New Roman" w:eastAsia="宋体" w:hAnsi="Times New Roman" w:cs="宋体"/>
                <w:b/>
                <w:bCs/>
                <w:color w:val="000000"/>
                <w:kern w:val="0"/>
                <w:szCs w:val="18"/>
              </w:rPr>
              <w:t>级指标</w:t>
            </w:r>
          </w:p>
        </w:tc>
        <w:tc>
          <w:tcPr>
            <w:tcW w:w="764"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b/>
                <w:bCs/>
                <w:color w:val="000000"/>
                <w:kern w:val="0"/>
                <w:szCs w:val="18"/>
              </w:rPr>
            </w:pPr>
            <w:r>
              <w:rPr>
                <w:rFonts w:ascii="Times New Roman" w:eastAsia="宋体" w:hAnsi="Times New Roman" w:cs="宋体" w:hint="eastAsia"/>
                <w:b/>
                <w:bCs/>
                <w:color w:val="000000"/>
                <w:kern w:val="0"/>
                <w:szCs w:val="18"/>
              </w:rPr>
              <w:t>指标值</w:t>
            </w:r>
          </w:p>
        </w:tc>
        <w:tc>
          <w:tcPr>
            <w:tcW w:w="662"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b/>
                <w:bCs/>
                <w:color w:val="000000"/>
                <w:kern w:val="0"/>
                <w:szCs w:val="18"/>
              </w:rPr>
            </w:pPr>
            <w:r>
              <w:rPr>
                <w:rFonts w:ascii="Times New Roman" w:eastAsia="宋体" w:hAnsi="Times New Roman" w:cs="宋体" w:hint="eastAsia"/>
                <w:b/>
                <w:bCs/>
                <w:color w:val="000000"/>
                <w:kern w:val="0"/>
                <w:szCs w:val="18"/>
              </w:rPr>
              <w:t>完成值</w:t>
            </w:r>
          </w:p>
        </w:tc>
        <w:tc>
          <w:tcPr>
            <w:tcW w:w="395"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b/>
                <w:bCs/>
                <w:color w:val="000000"/>
                <w:kern w:val="0"/>
                <w:szCs w:val="18"/>
              </w:rPr>
            </w:pPr>
            <w:r>
              <w:rPr>
                <w:rFonts w:ascii="Times New Roman" w:eastAsia="宋体" w:hAnsi="Times New Roman" w:cs="宋体" w:hint="eastAsia"/>
                <w:b/>
                <w:bCs/>
                <w:color w:val="000000"/>
                <w:kern w:val="0"/>
                <w:szCs w:val="18"/>
              </w:rPr>
              <w:t>分值</w:t>
            </w:r>
          </w:p>
        </w:tc>
        <w:tc>
          <w:tcPr>
            <w:tcW w:w="360"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b/>
                <w:bCs/>
                <w:color w:val="000000"/>
                <w:kern w:val="0"/>
                <w:szCs w:val="18"/>
              </w:rPr>
            </w:pPr>
            <w:r>
              <w:rPr>
                <w:rFonts w:ascii="Times New Roman" w:eastAsia="宋体" w:hAnsi="Times New Roman" w:cs="宋体" w:hint="eastAsia"/>
                <w:b/>
                <w:bCs/>
                <w:color w:val="000000"/>
                <w:kern w:val="0"/>
                <w:szCs w:val="18"/>
              </w:rPr>
              <w:t>得分</w:t>
            </w:r>
          </w:p>
        </w:tc>
      </w:tr>
      <w:tr w:rsidR="0038608B">
        <w:trPr>
          <w:trHeight w:val="794"/>
          <w:jc w:val="center"/>
        </w:trPr>
        <w:tc>
          <w:tcPr>
            <w:tcW w:w="741" w:type="pct"/>
            <w:vMerge w:val="restart"/>
            <w:tcBorders>
              <w:top w:val="single" w:sz="4" w:space="0" w:color="auto"/>
              <w:left w:val="single" w:sz="4" w:space="0" w:color="auto"/>
              <w:bottom w:val="single" w:sz="4" w:space="0" w:color="auto"/>
              <w:right w:val="single" w:sz="4" w:space="0" w:color="auto"/>
            </w:tcBorders>
            <w:vAlign w:val="center"/>
          </w:tcPr>
          <w:p w:rsidR="0038608B" w:rsidRDefault="0038608B">
            <w:pPr>
              <w:widowControl/>
              <w:jc w:val="center"/>
              <w:rPr>
                <w:rFonts w:ascii="Times New Roman" w:eastAsia="宋体" w:hAnsi="Times New Roman" w:cs="宋体"/>
                <w:color w:val="000000"/>
                <w:kern w:val="0"/>
                <w:szCs w:val="18"/>
              </w:rPr>
            </w:pPr>
          </w:p>
          <w:p w:rsidR="0038608B" w:rsidRDefault="0038608B">
            <w:pPr>
              <w:widowControl/>
              <w:jc w:val="center"/>
              <w:rPr>
                <w:rFonts w:ascii="Times New Roman" w:eastAsia="宋体" w:hAnsi="Times New Roman" w:cs="宋体"/>
                <w:color w:val="000000"/>
                <w:kern w:val="0"/>
                <w:szCs w:val="18"/>
              </w:rPr>
            </w:pPr>
          </w:p>
          <w:p w:rsidR="0038608B" w:rsidRDefault="0038608B">
            <w:pPr>
              <w:widowControl/>
              <w:jc w:val="center"/>
              <w:rPr>
                <w:rFonts w:ascii="Times New Roman" w:eastAsia="宋体" w:hAnsi="Times New Roman" w:cs="宋体"/>
                <w:color w:val="000000"/>
                <w:kern w:val="0"/>
                <w:szCs w:val="18"/>
              </w:rPr>
            </w:pPr>
          </w:p>
          <w:p w:rsidR="0038608B" w:rsidRDefault="0038608B">
            <w:pPr>
              <w:widowControl/>
              <w:jc w:val="center"/>
              <w:rPr>
                <w:rFonts w:ascii="Times New Roman" w:eastAsia="宋体" w:hAnsi="Times New Roman" w:cs="宋体"/>
                <w:color w:val="000000"/>
                <w:kern w:val="0"/>
                <w:szCs w:val="18"/>
              </w:rPr>
            </w:pPr>
          </w:p>
          <w:p w:rsidR="0038608B" w:rsidRDefault="0038608B">
            <w:pPr>
              <w:widowControl/>
              <w:jc w:val="center"/>
              <w:rPr>
                <w:rFonts w:ascii="Times New Roman" w:eastAsia="宋体" w:hAnsi="Times New Roman" w:cs="宋体"/>
                <w:color w:val="000000"/>
                <w:kern w:val="0"/>
                <w:szCs w:val="18"/>
              </w:rPr>
            </w:pPr>
          </w:p>
          <w:p w:rsidR="0038608B" w:rsidRDefault="0038608B">
            <w:pPr>
              <w:widowControl/>
              <w:jc w:val="center"/>
              <w:rPr>
                <w:rFonts w:ascii="Times New Roman" w:eastAsia="宋体" w:hAnsi="Times New Roman" w:cs="宋体"/>
                <w:color w:val="000000"/>
                <w:kern w:val="0"/>
                <w:szCs w:val="18"/>
              </w:rPr>
            </w:pPr>
          </w:p>
          <w:p w:rsidR="0038608B" w:rsidRDefault="0038608B">
            <w:pPr>
              <w:widowControl/>
              <w:jc w:val="center"/>
              <w:rPr>
                <w:rFonts w:ascii="Times New Roman" w:eastAsia="宋体" w:hAnsi="Times New Roman" w:cs="宋体"/>
                <w:color w:val="000000"/>
                <w:kern w:val="0"/>
                <w:szCs w:val="18"/>
              </w:rPr>
            </w:pPr>
          </w:p>
          <w:p w:rsidR="0038608B" w:rsidRDefault="0038608B">
            <w:pPr>
              <w:widowControl/>
              <w:jc w:val="center"/>
              <w:rPr>
                <w:rFonts w:ascii="Times New Roman" w:eastAsia="宋体" w:hAnsi="Times New Roman" w:cs="宋体"/>
                <w:color w:val="000000"/>
                <w:kern w:val="0"/>
                <w:szCs w:val="18"/>
              </w:rPr>
            </w:pPr>
          </w:p>
          <w:p w:rsidR="0038608B" w:rsidRDefault="0038608B">
            <w:pPr>
              <w:widowControl/>
              <w:jc w:val="center"/>
              <w:rPr>
                <w:rFonts w:ascii="Times New Roman" w:eastAsia="宋体" w:hAnsi="Times New Roman" w:cs="宋体"/>
                <w:color w:val="000000"/>
                <w:kern w:val="0"/>
                <w:szCs w:val="18"/>
              </w:rPr>
            </w:pPr>
          </w:p>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整体绩效目标实现情况</w:t>
            </w:r>
          </w:p>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w:t>
            </w:r>
            <w:r>
              <w:rPr>
                <w:rFonts w:ascii="Times New Roman" w:eastAsia="宋体" w:hAnsi="Times New Roman" w:cs="宋体" w:hint="eastAsia"/>
                <w:color w:val="000000"/>
                <w:kern w:val="0"/>
                <w:szCs w:val="18"/>
              </w:rPr>
              <w:t>60</w:t>
            </w:r>
            <w:r>
              <w:rPr>
                <w:rFonts w:ascii="Times New Roman" w:eastAsia="宋体" w:hAnsi="Times New Roman" w:cs="宋体" w:hint="eastAsia"/>
                <w:color w:val="000000"/>
                <w:kern w:val="0"/>
                <w:szCs w:val="18"/>
              </w:rPr>
              <w:t>）</w:t>
            </w:r>
          </w:p>
          <w:p w:rsidR="0038608B" w:rsidRDefault="0038608B">
            <w:pPr>
              <w:pStyle w:val="2"/>
              <w:rPr>
                <w:rFonts w:ascii="Times New Roman" w:eastAsia="宋体" w:hAnsi="Times New Roman" w:cs="宋体"/>
                <w:color w:val="000000"/>
                <w:kern w:val="0"/>
                <w:szCs w:val="18"/>
              </w:rPr>
            </w:pPr>
          </w:p>
          <w:p w:rsidR="0038608B" w:rsidRDefault="0038608B">
            <w:pPr>
              <w:pStyle w:val="2"/>
              <w:rPr>
                <w:rFonts w:ascii="Times New Roman" w:eastAsia="宋体" w:hAnsi="Times New Roman" w:cs="宋体"/>
                <w:color w:val="000000"/>
                <w:kern w:val="0"/>
                <w:szCs w:val="18"/>
              </w:rPr>
            </w:pPr>
          </w:p>
          <w:p w:rsidR="0038608B" w:rsidRDefault="0038608B">
            <w:pPr>
              <w:pStyle w:val="2"/>
              <w:rPr>
                <w:rFonts w:ascii="Times New Roman" w:eastAsia="宋体" w:hAnsi="Times New Roman" w:cs="宋体"/>
                <w:color w:val="000000"/>
                <w:kern w:val="0"/>
                <w:szCs w:val="18"/>
              </w:rPr>
            </w:pPr>
          </w:p>
          <w:p w:rsidR="0038608B" w:rsidRDefault="0038608B">
            <w:pPr>
              <w:pStyle w:val="2"/>
              <w:rPr>
                <w:rFonts w:ascii="Times New Roman" w:eastAsia="宋体" w:hAnsi="Times New Roman" w:cs="宋体"/>
                <w:color w:val="000000"/>
                <w:kern w:val="0"/>
                <w:szCs w:val="18"/>
              </w:rPr>
            </w:pPr>
          </w:p>
          <w:p w:rsidR="0038608B" w:rsidRDefault="0038608B">
            <w:pPr>
              <w:pStyle w:val="2"/>
              <w:rPr>
                <w:rFonts w:ascii="Times New Roman" w:eastAsia="宋体" w:hAnsi="Times New Roman" w:cs="宋体"/>
                <w:color w:val="000000"/>
                <w:kern w:val="0"/>
                <w:szCs w:val="18"/>
              </w:rPr>
            </w:pPr>
          </w:p>
          <w:p w:rsidR="0038608B" w:rsidRDefault="0038608B">
            <w:pPr>
              <w:pStyle w:val="2"/>
              <w:rPr>
                <w:rFonts w:ascii="Times New Roman" w:eastAsia="宋体" w:hAnsi="Times New Roman" w:cs="宋体"/>
                <w:color w:val="000000"/>
                <w:kern w:val="0"/>
                <w:szCs w:val="18"/>
              </w:rPr>
            </w:pPr>
          </w:p>
          <w:p w:rsidR="0038608B" w:rsidRDefault="0038608B">
            <w:pPr>
              <w:pStyle w:val="2"/>
              <w:rPr>
                <w:rFonts w:ascii="Times New Roman" w:eastAsia="宋体" w:hAnsi="Times New Roman" w:cs="宋体"/>
                <w:color w:val="000000"/>
                <w:kern w:val="0"/>
                <w:szCs w:val="18"/>
              </w:rPr>
            </w:pPr>
          </w:p>
          <w:p w:rsidR="0038608B" w:rsidRDefault="0038608B">
            <w:pPr>
              <w:pStyle w:val="2"/>
              <w:rPr>
                <w:rFonts w:ascii="Times New Roman" w:eastAsia="宋体" w:hAnsi="Times New Roman" w:cs="宋体"/>
                <w:color w:val="000000"/>
                <w:kern w:val="0"/>
                <w:szCs w:val="18"/>
              </w:rPr>
            </w:pPr>
          </w:p>
          <w:p w:rsidR="0038608B" w:rsidRDefault="0038608B">
            <w:pPr>
              <w:pStyle w:val="2"/>
              <w:rPr>
                <w:rFonts w:ascii="Times New Roman" w:eastAsia="宋体" w:hAnsi="Times New Roman" w:cs="宋体"/>
                <w:color w:val="000000"/>
                <w:kern w:val="0"/>
                <w:szCs w:val="18"/>
              </w:rPr>
            </w:pPr>
          </w:p>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整体绩效目标实现情况</w:t>
            </w:r>
          </w:p>
          <w:p w:rsidR="0038608B" w:rsidRDefault="00FA51B8">
            <w:pPr>
              <w:widowControl/>
              <w:jc w:val="center"/>
              <w:rPr>
                <w:rFonts w:ascii="Times New Roman" w:eastAsia="宋体" w:hAnsi="Times New Roman"/>
                <w:szCs w:val="18"/>
              </w:rPr>
            </w:pPr>
            <w:r>
              <w:rPr>
                <w:rFonts w:ascii="Times New Roman" w:eastAsia="宋体" w:hAnsi="Times New Roman" w:cs="宋体" w:hint="eastAsia"/>
                <w:color w:val="000000"/>
                <w:kern w:val="0"/>
                <w:szCs w:val="18"/>
              </w:rPr>
              <w:t>（</w:t>
            </w:r>
            <w:r>
              <w:rPr>
                <w:rFonts w:ascii="Times New Roman" w:eastAsia="宋体" w:hAnsi="Times New Roman" w:cs="宋体" w:hint="eastAsia"/>
                <w:color w:val="000000"/>
                <w:kern w:val="0"/>
                <w:szCs w:val="18"/>
              </w:rPr>
              <w:t>60</w:t>
            </w:r>
            <w:r>
              <w:rPr>
                <w:rFonts w:ascii="Times New Roman" w:eastAsia="宋体" w:hAnsi="Times New Roman" w:cs="宋体" w:hint="eastAsia"/>
                <w:color w:val="000000"/>
                <w:kern w:val="0"/>
                <w:szCs w:val="18"/>
              </w:rPr>
              <w:t>）</w:t>
            </w:r>
          </w:p>
        </w:tc>
        <w:tc>
          <w:tcPr>
            <w:tcW w:w="723" w:type="pct"/>
            <w:vMerge w:val="restart"/>
            <w:tcBorders>
              <w:top w:val="single" w:sz="4" w:space="0" w:color="auto"/>
              <w:left w:val="single" w:sz="4" w:space="0" w:color="auto"/>
              <w:bottom w:val="single" w:sz="4" w:space="0" w:color="auto"/>
              <w:right w:val="single" w:sz="4" w:space="0" w:color="auto"/>
            </w:tcBorders>
            <w:vAlign w:val="center"/>
          </w:tcPr>
          <w:p w:rsidR="0038608B" w:rsidRDefault="00FA51B8">
            <w:pPr>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lastRenderedPageBreak/>
              <w:t>产出</w:t>
            </w:r>
          </w:p>
          <w:p w:rsidR="0038608B" w:rsidRDefault="00FA51B8">
            <w:pPr>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w:t>
            </w:r>
            <w:r>
              <w:rPr>
                <w:rFonts w:ascii="Times New Roman" w:eastAsia="宋体" w:hAnsi="Times New Roman" w:cs="宋体" w:hint="eastAsia"/>
                <w:color w:val="000000"/>
                <w:kern w:val="0"/>
                <w:szCs w:val="18"/>
              </w:rPr>
              <w:t>30</w:t>
            </w:r>
            <w:r>
              <w:rPr>
                <w:rFonts w:ascii="Times New Roman" w:eastAsia="宋体" w:hAnsi="Times New Roman" w:cs="宋体" w:hint="eastAsia"/>
                <w:color w:val="000000"/>
                <w:kern w:val="0"/>
                <w:szCs w:val="18"/>
              </w:rPr>
              <w:t>）</w:t>
            </w:r>
          </w:p>
        </w:tc>
        <w:tc>
          <w:tcPr>
            <w:tcW w:w="1351" w:type="pct"/>
            <w:tcBorders>
              <w:top w:val="single" w:sz="4" w:space="0" w:color="auto"/>
              <w:left w:val="single" w:sz="4" w:space="0" w:color="auto"/>
              <w:bottom w:val="single" w:sz="4" w:space="0" w:color="auto"/>
              <w:right w:val="single" w:sz="4" w:space="0" w:color="auto"/>
            </w:tcBorders>
            <w:vAlign w:val="center"/>
          </w:tcPr>
          <w:p w:rsidR="0038608B" w:rsidRDefault="00FA51B8">
            <w:pP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科普与宣传</w:t>
            </w:r>
            <w:r>
              <w:rPr>
                <w:rFonts w:ascii="Times New Roman" w:eastAsia="宋体" w:hAnsi="Times New Roman" w:cs="宋体" w:hint="eastAsia"/>
                <w:color w:val="000000"/>
                <w:kern w:val="0"/>
                <w:szCs w:val="18"/>
              </w:rPr>
              <w:t>-</w:t>
            </w:r>
            <w:r>
              <w:rPr>
                <w:rFonts w:ascii="Times New Roman" w:eastAsia="宋体" w:hAnsi="Times New Roman" w:cs="宋体" w:hint="eastAsia"/>
                <w:color w:val="000000"/>
                <w:kern w:val="0"/>
                <w:szCs w:val="18"/>
              </w:rPr>
              <w:t>数量指标活动媒体报道</w:t>
            </w:r>
          </w:p>
        </w:tc>
        <w:tc>
          <w:tcPr>
            <w:tcW w:w="764" w:type="pct"/>
            <w:tcBorders>
              <w:top w:val="single" w:sz="4" w:space="0" w:color="auto"/>
              <w:left w:val="single" w:sz="4" w:space="0" w:color="auto"/>
              <w:bottom w:val="single" w:sz="4" w:space="0" w:color="auto"/>
              <w:right w:val="single" w:sz="4" w:space="0" w:color="auto"/>
            </w:tcBorders>
            <w:vAlign w:val="center"/>
          </w:tcPr>
          <w:p w:rsidR="0038608B" w:rsidRDefault="00FA51B8">
            <w:pPr>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w:t>
            </w:r>
            <w:r>
              <w:rPr>
                <w:rFonts w:ascii="Times New Roman" w:eastAsia="宋体" w:hAnsi="Times New Roman" w:cs="宋体" w:hint="eastAsia"/>
                <w:color w:val="000000"/>
                <w:kern w:val="0"/>
                <w:szCs w:val="18"/>
              </w:rPr>
              <w:t>15</w:t>
            </w:r>
            <w:r>
              <w:rPr>
                <w:rFonts w:ascii="Times New Roman" w:eastAsia="宋体" w:hAnsi="Times New Roman" w:cs="宋体" w:hint="eastAsia"/>
                <w:color w:val="000000"/>
                <w:kern w:val="0"/>
                <w:szCs w:val="18"/>
              </w:rPr>
              <w:t>次</w:t>
            </w:r>
          </w:p>
        </w:tc>
        <w:tc>
          <w:tcPr>
            <w:tcW w:w="662" w:type="pct"/>
            <w:tcBorders>
              <w:top w:val="single" w:sz="4" w:space="0" w:color="auto"/>
              <w:left w:val="single" w:sz="4" w:space="0" w:color="auto"/>
              <w:bottom w:val="single" w:sz="4" w:space="0" w:color="auto"/>
              <w:right w:val="single" w:sz="4" w:space="0" w:color="auto"/>
            </w:tcBorders>
            <w:vAlign w:val="center"/>
          </w:tcPr>
          <w:p w:rsidR="0038608B" w:rsidRDefault="00FA51B8">
            <w:pPr>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23</w:t>
            </w:r>
            <w:r>
              <w:rPr>
                <w:rFonts w:ascii="Times New Roman" w:eastAsia="宋体" w:hAnsi="Times New Roman" w:cs="宋体" w:hint="eastAsia"/>
                <w:color w:val="000000"/>
                <w:kern w:val="0"/>
                <w:szCs w:val="18"/>
              </w:rPr>
              <w:t>次</w:t>
            </w:r>
          </w:p>
        </w:tc>
        <w:tc>
          <w:tcPr>
            <w:tcW w:w="395" w:type="pct"/>
            <w:tcBorders>
              <w:top w:val="single" w:sz="4" w:space="0" w:color="auto"/>
              <w:left w:val="single" w:sz="4" w:space="0" w:color="auto"/>
              <w:bottom w:val="single" w:sz="4" w:space="0" w:color="auto"/>
              <w:right w:val="single" w:sz="4" w:space="0" w:color="auto"/>
            </w:tcBorders>
            <w:vAlign w:val="center"/>
          </w:tcPr>
          <w:p w:rsidR="0038608B" w:rsidRDefault="00FA51B8">
            <w:pPr>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4</w:t>
            </w:r>
          </w:p>
        </w:tc>
        <w:tc>
          <w:tcPr>
            <w:tcW w:w="360" w:type="pct"/>
            <w:tcBorders>
              <w:top w:val="single" w:sz="4" w:space="0" w:color="auto"/>
              <w:left w:val="single" w:sz="4" w:space="0" w:color="auto"/>
              <w:bottom w:val="single" w:sz="4" w:space="0" w:color="auto"/>
              <w:right w:val="single" w:sz="4" w:space="0" w:color="auto"/>
            </w:tcBorders>
            <w:vAlign w:val="center"/>
          </w:tcPr>
          <w:p w:rsidR="0038608B" w:rsidRDefault="00FA51B8">
            <w:pPr>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4</w:t>
            </w:r>
          </w:p>
        </w:tc>
      </w:tr>
      <w:tr w:rsidR="0038608B">
        <w:trPr>
          <w:trHeight w:val="907"/>
          <w:jc w:val="center"/>
        </w:trPr>
        <w:tc>
          <w:tcPr>
            <w:tcW w:w="741" w:type="pct"/>
            <w:vMerge/>
            <w:tcBorders>
              <w:top w:val="single" w:sz="4" w:space="0" w:color="auto"/>
              <w:left w:val="single" w:sz="4" w:space="0" w:color="auto"/>
              <w:bottom w:val="single" w:sz="4" w:space="0" w:color="auto"/>
              <w:right w:val="single" w:sz="4" w:space="0" w:color="auto"/>
            </w:tcBorders>
            <w:vAlign w:val="center"/>
          </w:tcPr>
          <w:p w:rsidR="0038608B" w:rsidRDefault="0038608B">
            <w:pPr>
              <w:widowControl/>
              <w:jc w:val="left"/>
              <w:rPr>
                <w:rFonts w:ascii="Times New Roman" w:eastAsia="宋体" w:hAnsi="Times New Roman" w:cs="宋体"/>
                <w:color w:val="000000"/>
                <w:kern w:val="0"/>
                <w:szCs w:val="18"/>
              </w:rPr>
            </w:pPr>
          </w:p>
        </w:tc>
        <w:tc>
          <w:tcPr>
            <w:tcW w:w="723" w:type="pct"/>
            <w:vMerge/>
            <w:tcBorders>
              <w:top w:val="single" w:sz="4" w:space="0" w:color="auto"/>
              <w:left w:val="single" w:sz="4" w:space="0" w:color="auto"/>
              <w:bottom w:val="single" w:sz="4" w:space="0" w:color="auto"/>
              <w:right w:val="single" w:sz="4" w:space="0" w:color="auto"/>
            </w:tcBorders>
            <w:vAlign w:val="center"/>
          </w:tcPr>
          <w:p w:rsidR="0038608B" w:rsidRDefault="0038608B">
            <w:pPr>
              <w:widowControl/>
              <w:jc w:val="left"/>
              <w:rPr>
                <w:rFonts w:ascii="Times New Roman" w:eastAsia="宋体" w:hAnsi="Times New Roman" w:cs="宋体"/>
                <w:color w:val="000000"/>
                <w:kern w:val="0"/>
                <w:szCs w:val="18"/>
              </w:rPr>
            </w:pPr>
          </w:p>
        </w:tc>
        <w:tc>
          <w:tcPr>
            <w:tcW w:w="1351"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科普与宣传</w:t>
            </w:r>
            <w:r>
              <w:rPr>
                <w:rFonts w:ascii="Times New Roman" w:eastAsia="宋体" w:hAnsi="Times New Roman" w:cs="宋体" w:hint="eastAsia"/>
                <w:color w:val="000000"/>
                <w:kern w:val="0"/>
                <w:szCs w:val="18"/>
              </w:rPr>
              <w:t>-</w:t>
            </w:r>
            <w:r>
              <w:rPr>
                <w:rFonts w:ascii="Times New Roman" w:eastAsia="宋体" w:hAnsi="Times New Roman" w:cs="宋体" w:hint="eastAsia"/>
                <w:color w:val="000000"/>
                <w:kern w:val="0"/>
                <w:szCs w:val="18"/>
              </w:rPr>
              <w:t>数量指标支持包括全市防灾减灾日活动在内的线上线下活动</w:t>
            </w:r>
          </w:p>
        </w:tc>
        <w:tc>
          <w:tcPr>
            <w:tcW w:w="764"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w:t>
            </w:r>
            <w:r>
              <w:rPr>
                <w:rFonts w:ascii="Times New Roman" w:eastAsia="宋体" w:hAnsi="Times New Roman" w:cs="宋体" w:hint="eastAsia"/>
                <w:color w:val="000000"/>
                <w:kern w:val="0"/>
                <w:szCs w:val="18"/>
              </w:rPr>
              <w:t>20</w:t>
            </w:r>
            <w:r>
              <w:rPr>
                <w:rFonts w:ascii="Times New Roman" w:eastAsia="宋体" w:hAnsi="Times New Roman" w:cs="宋体" w:hint="eastAsia"/>
                <w:color w:val="000000"/>
                <w:kern w:val="0"/>
                <w:szCs w:val="18"/>
              </w:rPr>
              <w:t>场</w:t>
            </w:r>
          </w:p>
        </w:tc>
        <w:tc>
          <w:tcPr>
            <w:tcW w:w="662"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20</w:t>
            </w:r>
            <w:r>
              <w:rPr>
                <w:rFonts w:ascii="Times New Roman" w:eastAsia="宋体" w:hAnsi="Times New Roman" w:cs="宋体" w:hint="eastAsia"/>
                <w:color w:val="000000"/>
                <w:kern w:val="0"/>
                <w:szCs w:val="18"/>
              </w:rPr>
              <w:t>场</w:t>
            </w:r>
          </w:p>
        </w:tc>
        <w:tc>
          <w:tcPr>
            <w:tcW w:w="395"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4</w:t>
            </w:r>
          </w:p>
        </w:tc>
        <w:tc>
          <w:tcPr>
            <w:tcW w:w="360" w:type="pct"/>
            <w:tcBorders>
              <w:top w:val="single" w:sz="4" w:space="0" w:color="auto"/>
              <w:left w:val="single" w:sz="4" w:space="0" w:color="auto"/>
              <w:bottom w:val="single" w:sz="4" w:space="0" w:color="auto"/>
              <w:right w:val="single" w:sz="4" w:space="0" w:color="auto"/>
            </w:tcBorders>
            <w:noWrap/>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4</w:t>
            </w:r>
          </w:p>
        </w:tc>
      </w:tr>
      <w:tr w:rsidR="0038608B">
        <w:trPr>
          <w:trHeight w:val="794"/>
          <w:jc w:val="center"/>
        </w:trPr>
        <w:tc>
          <w:tcPr>
            <w:tcW w:w="741" w:type="pct"/>
            <w:vMerge/>
            <w:tcBorders>
              <w:top w:val="single" w:sz="4" w:space="0" w:color="auto"/>
              <w:left w:val="single" w:sz="4" w:space="0" w:color="auto"/>
              <w:bottom w:val="single" w:sz="4" w:space="0" w:color="auto"/>
              <w:right w:val="single" w:sz="4" w:space="0" w:color="auto"/>
            </w:tcBorders>
            <w:vAlign w:val="center"/>
          </w:tcPr>
          <w:p w:rsidR="0038608B" w:rsidRDefault="0038608B">
            <w:pPr>
              <w:widowControl/>
              <w:jc w:val="left"/>
              <w:rPr>
                <w:rFonts w:ascii="Times New Roman" w:eastAsia="宋体" w:hAnsi="Times New Roman" w:cs="宋体"/>
                <w:color w:val="000000"/>
                <w:kern w:val="0"/>
                <w:szCs w:val="18"/>
              </w:rPr>
            </w:pPr>
          </w:p>
        </w:tc>
        <w:tc>
          <w:tcPr>
            <w:tcW w:w="723" w:type="pct"/>
            <w:vMerge/>
            <w:tcBorders>
              <w:top w:val="single" w:sz="4" w:space="0" w:color="auto"/>
              <w:left w:val="single" w:sz="4" w:space="0" w:color="auto"/>
              <w:bottom w:val="single" w:sz="4" w:space="0" w:color="auto"/>
              <w:right w:val="single" w:sz="4" w:space="0" w:color="auto"/>
            </w:tcBorders>
            <w:vAlign w:val="center"/>
          </w:tcPr>
          <w:p w:rsidR="0038608B" w:rsidRDefault="0038608B">
            <w:pPr>
              <w:widowControl/>
              <w:jc w:val="left"/>
              <w:rPr>
                <w:rFonts w:ascii="Times New Roman" w:eastAsia="宋体" w:hAnsi="Times New Roman" w:cs="宋体"/>
                <w:color w:val="000000"/>
                <w:kern w:val="0"/>
                <w:szCs w:val="18"/>
              </w:rPr>
            </w:pPr>
          </w:p>
        </w:tc>
        <w:tc>
          <w:tcPr>
            <w:tcW w:w="1351"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地震灾害预防</w:t>
            </w:r>
            <w:r>
              <w:rPr>
                <w:rFonts w:ascii="Times New Roman" w:eastAsia="宋体" w:hAnsi="Times New Roman" w:cs="宋体" w:hint="eastAsia"/>
                <w:color w:val="000000"/>
                <w:kern w:val="0"/>
                <w:szCs w:val="18"/>
              </w:rPr>
              <w:t>-</w:t>
            </w:r>
            <w:r>
              <w:rPr>
                <w:rFonts w:ascii="Times New Roman" w:eastAsia="宋体" w:hAnsi="Times New Roman" w:cs="宋体" w:hint="eastAsia"/>
                <w:color w:val="000000"/>
                <w:kern w:val="0"/>
                <w:szCs w:val="18"/>
              </w:rPr>
              <w:t>数量指标遥感解译</w:t>
            </w:r>
          </w:p>
        </w:tc>
        <w:tc>
          <w:tcPr>
            <w:tcW w:w="764"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70</w:t>
            </w:r>
            <w:r>
              <w:rPr>
                <w:rFonts w:ascii="Times New Roman" w:eastAsia="宋体" w:hAnsi="Times New Roman" w:cs="宋体" w:hint="eastAsia"/>
                <w:color w:val="000000"/>
                <w:kern w:val="0"/>
                <w:szCs w:val="18"/>
              </w:rPr>
              <w:t>平方公里</w:t>
            </w:r>
          </w:p>
        </w:tc>
        <w:tc>
          <w:tcPr>
            <w:tcW w:w="662"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70</w:t>
            </w:r>
            <w:r>
              <w:rPr>
                <w:rFonts w:ascii="Times New Roman" w:eastAsia="宋体" w:hAnsi="Times New Roman" w:cs="宋体" w:hint="eastAsia"/>
                <w:color w:val="000000"/>
                <w:kern w:val="0"/>
                <w:szCs w:val="18"/>
              </w:rPr>
              <w:t>平方公里</w:t>
            </w:r>
          </w:p>
        </w:tc>
        <w:tc>
          <w:tcPr>
            <w:tcW w:w="395" w:type="pct"/>
            <w:tcBorders>
              <w:top w:val="single" w:sz="4" w:space="0" w:color="auto"/>
              <w:left w:val="single" w:sz="4" w:space="0" w:color="auto"/>
              <w:bottom w:val="single" w:sz="4" w:space="0" w:color="auto"/>
              <w:right w:val="single" w:sz="4" w:space="0" w:color="auto"/>
            </w:tcBorders>
            <w:vAlign w:val="center"/>
          </w:tcPr>
          <w:p w:rsidR="0038608B" w:rsidRDefault="00FA51B8">
            <w:pPr>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4</w:t>
            </w:r>
          </w:p>
        </w:tc>
        <w:tc>
          <w:tcPr>
            <w:tcW w:w="360" w:type="pct"/>
            <w:tcBorders>
              <w:top w:val="single" w:sz="4" w:space="0" w:color="auto"/>
              <w:left w:val="single" w:sz="4" w:space="0" w:color="auto"/>
              <w:bottom w:val="single" w:sz="4" w:space="0" w:color="auto"/>
              <w:right w:val="single" w:sz="4" w:space="0" w:color="auto"/>
            </w:tcBorders>
            <w:noWrap/>
            <w:vAlign w:val="center"/>
          </w:tcPr>
          <w:p w:rsidR="0038608B" w:rsidRDefault="00FA51B8">
            <w:pPr>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4</w:t>
            </w:r>
          </w:p>
        </w:tc>
      </w:tr>
      <w:tr w:rsidR="0038608B">
        <w:trPr>
          <w:trHeight w:val="794"/>
          <w:jc w:val="center"/>
        </w:trPr>
        <w:tc>
          <w:tcPr>
            <w:tcW w:w="741" w:type="pct"/>
            <w:vMerge/>
            <w:tcBorders>
              <w:top w:val="single" w:sz="4" w:space="0" w:color="auto"/>
              <w:left w:val="single" w:sz="4" w:space="0" w:color="auto"/>
              <w:bottom w:val="single" w:sz="4" w:space="0" w:color="auto"/>
              <w:right w:val="single" w:sz="4" w:space="0" w:color="auto"/>
            </w:tcBorders>
            <w:vAlign w:val="center"/>
          </w:tcPr>
          <w:p w:rsidR="0038608B" w:rsidRDefault="0038608B">
            <w:pPr>
              <w:widowControl/>
              <w:jc w:val="left"/>
              <w:rPr>
                <w:rFonts w:ascii="Times New Roman" w:eastAsia="宋体" w:hAnsi="Times New Roman" w:cs="宋体"/>
                <w:color w:val="000000"/>
                <w:kern w:val="0"/>
                <w:szCs w:val="18"/>
              </w:rPr>
            </w:pPr>
          </w:p>
        </w:tc>
        <w:tc>
          <w:tcPr>
            <w:tcW w:w="723" w:type="pct"/>
            <w:vMerge/>
            <w:tcBorders>
              <w:top w:val="single" w:sz="4" w:space="0" w:color="auto"/>
              <w:left w:val="single" w:sz="4" w:space="0" w:color="auto"/>
              <w:bottom w:val="single" w:sz="4" w:space="0" w:color="auto"/>
              <w:right w:val="single" w:sz="4" w:space="0" w:color="auto"/>
            </w:tcBorders>
            <w:vAlign w:val="center"/>
          </w:tcPr>
          <w:p w:rsidR="0038608B" w:rsidRDefault="0038608B">
            <w:pPr>
              <w:widowControl/>
              <w:jc w:val="left"/>
              <w:rPr>
                <w:rFonts w:ascii="Times New Roman" w:eastAsia="宋体" w:hAnsi="Times New Roman" w:cs="宋体"/>
                <w:color w:val="000000"/>
                <w:kern w:val="0"/>
                <w:szCs w:val="18"/>
              </w:rPr>
            </w:pPr>
          </w:p>
        </w:tc>
        <w:tc>
          <w:tcPr>
            <w:tcW w:w="1351"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地震监测</w:t>
            </w:r>
            <w:r>
              <w:rPr>
                <w:rFonts w:ascii="Times New Roman" w:eastAsia="宋体" w:hAnsi="Times New Roman" w:cs="宋体" w:hint="eastAsia"/>
                <w:color w:val="000000"/>
                <w:kern w:val="0"/>
                <w:szCs w:val="18"/>
              </w:rPr>
              <w:t>-</w:t>
            </w:r>
            <w:r>
              <w:rPr>
                <w:rFonts w:ascii="Times New Roman" w:eastAsia="宋体" w:hAnsi="Times New Roman" w:cs="宋体" w:hint="eastAsia"/>
                <w:color w:val="000000"/>
                <w:kern w:val="0"/>
                <w:szCs w:val="18"/>
              </w:rPr>
              <w:t>数量指标保障重大活动地震安保</w:t>
            </w:r>
          </w:p>
        </w:tc>
        <w:tc>
          <w:tcPr>
            <w:tcW w:w="764"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color w:val="000000"/>
                <w:kern w:val="0"/>
                <w:szCs w:val="18"/>
              </w:rPr>
              <w:t>≥</w:t>
            </w:r>
            <w:r>
              <w:rPr>
                <w:rFonts w:ascii="Times New Roman" w:eastAsia="宋体" w:hAnsi="Times New Roman" w:cs="宋体" w:hint="eastAsia"/>
                <w:color w:val="000000"/>
                <w:kern w:val="0"/>
                <w:szCs w:val="18"/>
              </w:rPr>
              <w:t>30</w:t>
            </w:r>
            <w:r>
              <w:rPr>
                <w:rFonts w:ascii="Times New Roman" w:eastAsia="宋体" w:hAnsi="Times New Roman" w:cs="宋体" w:hint="eastAsia"/>
                <w:color w:val="000000"/>
                <w:kern w:val="0"/>
                <w:szCs w:val="18"/>
              </w:rPr>
              <w:t>天</w:t>
            </w:r>
          </w:p>
        </w:tc>
        <w:tc>
          <w:tcPr>
            <w:tcW w:w="662"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30</w:t>
            </w:r>
            <w:r>
              <w:rPr>
                <w:rFonts w:ascii="Times New Roman" w:eastAsia="宋体" w:hAnsi="Times New Roman" w:cs="宋体" w:hint="eastAsia"/>
                <w:color w:val="000000"/>
                <w:kern w:val="0"/>
                <w:szCs w:val="18"/>
              </w:rPr>
              <w:t>天</w:t>
            </w:r>
          </w:p>
        </w:tc>
        <w:tc>
          <w:tcPr>
            <w:tcW w:w="395"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5</w:t>
            </w:r>
          </w:p>
        </w:tc>
        <w:tc>
          <w:tcPr>
            <w:tcW w:w="360" w:type="pct"/>
            <w:tcBorders>
              <w:top w:val="single" w:sz="4" w:space="0" w:color="auto"/>
              <w:left w:val="single" w:sz="4" w:space="0" w:color="auto"/>
              <w:bottom w:val="single" w:sz="4" w:space="0" w:color="auto"/>
              <w:right w:val="single" w:sz="4" w:space="0" w:color="auto"/>
            </w:tcBorders>
            <w:noWrap/>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5</w:t>
            </w:r>
          </w:p>
        </w:tc>
      </w:tr>
      <w:tr w:rsidR="0038608B">
        <w:trPr>
          <w:trHeight w:val="794"/>
          <w:jc w:val="center"/>
        </w:trPr>
        <w:tc>
          <w:tcPr>
            <w:tcW w:w="741" w:type="pct"/>
            <w:vMerge/>
            <w:tcBorders>
              <w:top w:val="single" w:sz="4" w:space="0" w:color="auto"/>
              <w:left w:val="single" w:sz="4" w:space="0" w:color="auto"/>
              <w:bottom w:val="single" w:sz="4" w:space="0" w:color="auto"/>
              <w:right w:val="single" w:sz="4" w:space="0" w:color="auto"/>
            </w:tcBorders>
            <w:vAlign w:val="center"/>
          </w:tcPr>
          <w:p w:rsidR="0038608B" w:rsidRDefault="0038608B">
            <w:pPr>
              <w:widowControl/>
              <w:jc w:val="left"/>
              <w:rPr>
                <w:rFonts w:ascii="Times New Roman" w:eastAsia="宋体" w:hAnsi="Times New Roman" w:cs="宋体"/>
                <w:color w:val="000000"/>
                <w:kern w:val="0"/>
                <w:szCs w:val="18"/>
              </w:rPr>
            </w:pPr>
          </w:p>
        </w:tc>
        <w:tc>
          <w:tcPr>
            <w:tcW w:w="723" w:type="pct"/>
            <w:vMerge/>
            <w:tcBorders>
              <w:top w:val="single" w:sz="4" w:space="0" w:color="auto"/>
              <w:left w:val="single" w:sz="4" w:space="0" w:color="auto"/>
              <w:bottom w:val="single" w:sz="4" w:space="0" w:color="auto"/>
              <w:right w:val="single" w:sz="4" w:space="0" w:color="auto"/>
            </w:tcBorders>
            <w:vAlign w:val="center"/>
          </w:tcPr>
          <w:p w:rsidR="0038608B" w:rsidRDefault="0038608B">
            <w:pPr>
              <w:widowControl/>
              <w:jc w:val="left"/>
              <w:rPr>
                <w:rFonts w:ascii="Times New Roman" w:eastAsia="宋体" w:hAnsi="Times New Roman" w:cs="宋体"/>
                <w:color w:val="000000"/>
                <w:kern w:val="0"/>
                <w:szCs w:val="18"/>
              </w:rPr>
            </w:pPr>
          </w:p>
        </w:tc>
        <w:tc>
          <w:tcPr>
            <w:tcW w:w="1351"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地震灾害预防</w:t>
            </w:r>
            <w:r>
              <w:rPr>
                <w:rFonts w:ascii="Times New Roman" w:eastAsia="宋体" w:hAnsi="Times New Roman" w:cs="宋体" w:hint="eastAsia"/>
                <w:color w:val="000000"/>
                <w:kern w:val="0"/>
                <w:szCs w:val="18"/>
              </w:rPr>
              <w:t>-</w:t>
            </w:r>
            <w:r>
              <w:rPr>
                <w:rFonts w:ascii="Times New Roman" w:eastAsia="宋体" w:hAnsi="Times New Roman" w:cs="宋体" w:hint="eastAsia"/>
                <w:color w:val="000000"/>
                <w:kern w:val="0"/>
                <w:szCs w:val="18"/>
              </w:rPr>
              <w:t>数量指标深地震反射探测</w:t>
            </w:r>
          </w:p>
        </w:tc>
        <w:tc>
          <w:tcPr>
            <w:tcW w:w="764"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35</w:t>
            </w:r>
            <w:r>
              <w:rPr>
                <w:rFonts w:ascii="Times New Roman" w:eastAsia="宋体" w:hAnsi="Times New Roman" w:cs="宋体" w:hint="eastAsia"/>
                <w:color w:val="000000"/>
                <w:kern w:val="0"/>
                <w:szCs w:val="18"/>
              </w:rPr>
              <w:t>公里</w:t>
            </w:r>
          </w:p>
        </w:tc>
        <w:tc>
          <w:tcPr>
            <w:tcW w:w="662"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35</w:t>
            </w:r>
            <w:r>
              <w:rPr>
                <w:rFonts w:ascii="Times New Roman" w:eastAsia="宋体" w:hAnsi="Times New Roman" w:cs="宋体" w:hint="eastAsia"/>
                <w:color w:val="000000"/>
                <w:kern w:val="0"/>
                <w:szCs w:val="18"/>
              </w:rPr>
              <w:t>公里</w:t>
            </w:r>
          </w:p>
        </w:tc>
        <w:tc>
          <w:tcPr>
            <w:tcW w:w="395" w:type="pct"/>
            <w:tcBorders>
              <w:top w:val="single" w:sz="4" w:space="0" w:color="auto"/>
              <w:left w:val="single" w:sz="4" w:space="0" w:color="auto"/>
              <w:bottom w:val="single" w:sz="4" w:space="0" w:color="auto"/>
              <w:right w:val="single" w:sz="4" w:space="0" w:color="auto"/>
            </w:tcBorders>
            <w:vAlign w:val="center"/>
          </w:tcPr>
          <w:p w:rsidR="0038608B" w:rsidRDefault="00FA51B8">
            <w:pPr>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4</w:t>
            </w:r>
          </w:p>
        </w:tc>
        <w:tc>
          <w:tcPr>
            <w:tcW w:w="360" w:type="pct"/>
            <w:tcBorders>
              <w:top w:val="single" w:sz="4" w:space="0" w:color="auto"/>
              <w:left w:val="single" w:sz="4" w:space="0" w:color="auto"/>
              <w:bottom w:val="single" w:sz="4" w:space="0" w:color="auto"/>
              <w:right w:val="single" w:sz="4" w:space="0" w:color="auto"/>
            </w:tcBorders>
            <w:noWrap/>
            <w:vAlign w:val="center"/>
          </w:tcPr>
          <w:p w:rsidR="0038608B" w:rsidRDefault="00FA51B8">
            <w:pPr>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4</w:t>
            </w:r>
          </w:p>
        </w:tc>
      </w:tr>
      <w:tr w:rsidR="0038608B">
        <w:trPr>
          <w:trHeight w:val="907"/>
          <w:jc w:val="center"/>
        </w:trPr>
        <w:tc>
          <w:tcPr>
            <w:tcW w:w="741" w:type="pct"/>
            <w:vMerge/>
            <w:tcBorders>
              <w:top w:val="single" w:sz="4" w:space="0" w:color="auto"/>
              <w:left w:val="single" w:sz="4" w:space="0" w:color="auto"/>
              <w:bottom w:val="single" w:sz="4" w:space="0" w:color="auto"/>
              <w:right w:val="single" w:sz="4" w:space="0" w:color="auto"/>
            </w:tcBorders>
            <w:vAlign w:val="center"/>
          </w:tcPr>
          <w:p w:rsidR="0038608B" w:rsidRDefault="0038608B">
            <w:pPr>
              <w:widowControl/>
              <w:jc w:val="left"/>
              <w:rPr>
                <w:rFonts w:ascii="Times New Roman" w:eastAsia="宋体" w:hAnsi="Times New Roman" w:cs="宋体"/>
                <w:color w:val="000000"/>
                <w:kern w:val="0"/>
                <w:szCs w:val="18"/>
              </w:rPr>
            </w:pPr>
          </w:p>
        </w:tc>
        <w:tc>
          <w:tcPr>
            <w:tcW w:w="723" w:type="pct"/>
            <w:vMerge/>
            <w:tcBorders>
              <w:top w:val="single" w:sz="4" w:space="0" w:color="auto"/>
              <w:left w:val="single" w:sz="4" w:space="0" w:color="auto"/>
              <w:bottom w:val="single" w:sz="4" w:space="0" w:color="auto"/>
              <w:right w:val="single" w:sz="4" w:space="0" w:color="auto"/>
            </w:tcBorders>
            <w:vAlign w:val="center"/>
          </w:tcPr>
          <w:p w:rsidR="0038608B" w:rsidRDefault="0038608B">
            <w:pPr>
              <w:widowControl/>
              <w:jc w:val="left"/>
              <w:rPr>
                <w:rFonts w:ascii="Times New Roman" w:eastAsia="宋体" w:hAnsi="Times New Roman" w:cs="宋体"/>
                <w:color w:val="000000"/>
                <w:kern w:val="0"/>
                <w:szCs w:val="18"/>
              </w:rPr>
            </w:pPr>
          </w:p>
        </w:tc>
        <w:tc>
          <w:tcPr>
            <w:tcW w:w="1351"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地震灾害预防</w:t>
            </w:r>
            <w:r>
              <w:rPr>
                <w:rFonts w:ascii="Times New Roman" w:eastAsia="宋体" w:hAnsi="Times New Roman" w:cs="宋体" w:hint="eastAsia"/>
                <w:color w:val="000000"/>
                <w:kern w:val="0"/>
                <w:szCs w:val="18"/>
              </w:rPr>
              <w:t>-</w:t>
            </w:r>
            <w:r>
              <w:rPr>
                <w:rFonts w:ascii="Times New Roman" w:eastAsia="宋体" w:hAnsi="Times New Roman" w:cs="宋体" w:hint="eastAsia"/>
                <w:color w:val="000000"/>
                <w:kern w:val="0"/>
                <w:szCs w:val="18"/>
              </w:rPr>
              <w:t>数量指标开展评估的重要区域的地震灾害风险评查和建筑物抗震性</w:t>
            </w:r>
            <w:proofErr w:type="gramStart"/>
            <w:r>
              <w:rPr>
                <w:rFonts w:ascii="Times New Roman" w:eastAsia="宋体" w:hAnsi="Times New Roman" w:cs="宋体" w:hint="eastAsia"/>
                <w:color w:val="000000"/>
                <w:kern w:val="0"/>
                <w:szCs w:val="18"/>
              </w:rPr>
              <w:t>能区域</w:t>
            </w:r>
            <w:proofErr w:type="gramEnd"/>
            <w:r>
              <w:rPr>
                <w:rFonts w:ascii="Times New Roman" w:eastAsia="宋体" w:hAnsi="Times New Roman" w:cs="宋体" w:hint="eastAsia"/>
                <w:color w:val="000000"/>
                <w:kern w:val="0"/>
                <w:szCs w:val="18"/>
              </w:rPr>
              <w:t>数量</w:t>
            </w:r>
          </w:p>
        </w:tc>
        <w:tc>
          <w:tcPr>
            <w:tcW w:w="764"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w:t>
            </w:r>
            <w:r>
              <w:rPr>
                <w:rFonts w:ascii="Times New Roman" w:eastAsia="宋体" w:hAnsi="Times New Roman" w:cs="宋体" w:hint="eastAsia"/>
                <w:color w:val="000000"/>
                <w:kern w:val="0"/>
                <w:szCs w:val="18"/>
              </w:rPr>
              <w:t>3</w:t>
            </w:r>
            <w:r>
              <w:rPr>
                <w:rFonts w:ascii="Times New Roman" w:eastAsia="宋体" w:hAnsi="Times New Roman" w:cs="宋体" w:hint="eastAsia"/>
                <w:color w:val="000000"/>
                <w:kern w:val="0"/>
                <w:szCs w:val="18"/>
              </w:rPr>
              <w:t>个</w:t>
            </w:r>
          </w:p>
        </w:tc>
        <w:tc>
          <w:tcPr>
            <w:tcW w:w="662"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2</w:t>
            </w:r>
            <w:r>
              <w:rPr>
                <w:rFonts w:ascii="Times New Roman" w:eastAsia="宋体" w:hAnsi="Times New Roman" w:cs="宋体" w:hint="eastAsia"/>
                <w:color w:val="000000"/>
                <w:kern w:val="0"/>
                <w:szCs w:val="18"/>
              </w:rPr>
              <w:t>个</w:t>
            </w:r>
          </w:p>
        </w:tc>
        <w:tc>
          <w:tcPr>
            <w:tcW w:w="395" w:type="pct"/>
            <w:tcBorders>
              <w:top w:val="single" w:sz="4" w:space="0" w:color="auto"/>
              <w:left w:val="single" w:sz="4" w:space="0" w:color="auto"/>
              <w:bottom w:val="single" w:sz="4" w:space="0" w:color="auto"/>
              <w:right w:val="single" w:sz="4" w:space="0" w:color="auto"/>
            </w:tcBorders>
            <w:vAlign w:val="center"/>
          </w:tcPr>
          <w:p w:rsidR="0038608B" w:rsidRDefault="00FA51B8">
            <w:pPr>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5</w:t>
            </w:r>
          </w:p>
        </w:tc>
        <w:tc>
          <w:tcPr>
            <w:tcW w:w="360" w:type="pct"/>
            <w:tcBorders>
              <w:top w:val="single" w:sz="4" w:space="0" w:color="auto"/>
              <w:left w:val="single" w:sz="4" w:space="0" w:color="auto"/>
              <w:bottom w:val="single" w:sz="4" w:space="0" w:color="auto"/>
              <w:right w:val="single" w:sz="4" w:space="0" w:color="auto"/>
            </w:tcBorders>
            <w:noWrap/>
            <w:vAlign w:val="center"/>
          </w:tcPr>
          <w:p w:rsidR="0038608B" w:rsidRDefault="00FA51B8">
            <w:pPr>
              <w:widowControl/>
              <w:jc w:val="center"/>
              <w:rPr>
                <w:rFonts w:ascii="Times New Roman" w:eastAsia="宋体" w:hAnsi="Times New Roman" w:cs="宋体"/>
                <w:color w:val="000000"/>
                <w:kern w:val="0"/>
                <w:szCs w:val="18"/>
                <w:highlight w:val="yellow"/>
              </w:rPr>
            </w:pPr>
            <w:r>
              <w:rPr>
                <w:rFonts w:ascii="Times New Roman" w:eastAsia="宋体" w:hAnsi="Times New Roman" w:cs="宋体" w:hint="eastAsia"/>
                <w:color w:val="000000"/>
                <w:kern w:val="0"/>
                <w:szCs w:val="18"/>
              </w:rPr>
              <w:t>3.33</w:t>
            </w:r>
          </w:p>
        </w:tc>
      </w:tr>
      <w:tr w:rsidR="0038608B">
        <w:trPr>
          <w:trHeight w:val="794"/>
          <w:jc w:val="center"/>
        </w:trPr>
        <w:tc>
          <w:tcPr>
            <w:tcW w:w="741" w:type="pct"/>
            <w:vMerge/>
            <w:tcBorders>
              <w:top w:val="single" w:sz="4" w:space="0" w:color="auto"/>
              <w:left w:val="single" w:sz="4" w:space="0" w:color="auto"/>
              <w:bottom w:val="single" w:sz="4" w:space="0" w:color="auto"/>
              <w:right w:val="single" w:sz="4" w:space="0" w:color="auto"/>
            </w:tcBorders>
            <w:vAlign w:val="center"/>
          </w:tcPr>
          <w:p w:rsidR="0038608B" w:rsidRDefault="0038608B">
            <w:pPr>
              <w:widowControl/>
              <w:jc w:val="left"/>
              <w:rPr>
                <w:rFonts w:ascii="Times New Roman" w:eastAsia="宋体" w:hAnsi="Times New Roman" w:cs="宋体"/>
                <w:color w:val="000000"/>
                <w:kern w:val="0"/>
                <w:szCs w:val="18"/>
              </w:rPr>
            </w:pPr>
          </w:p>
        </w:tc>
        <w:tc>
          <w:tcPr>
            <w:tcW w:w="723" w:type="pct"/>
            <w:vMerge/>
            <w:tcBorders>
              <w:top w:val="single" w:sz="4" w:space="0" w:color="auto"/>
              <w:left w:val="single" w:sz="4" w:space="0" w:color="auto"/>
              <w:bottom w:val="single" w:sz="4" w:space="0" w:color="auto"/>
              <w:right w:val="single" w:sz="4" w:space="0" w:color="auto"/>
            </w:tcBorders>
            <w:vAlign w:val="center"/>
          </w:tcPr>
          <w:p w:rsidR="0038608B" w:rsidRDefault="0038608B">
            <w:pPr>
              <w:widowControl/>
              <w:jc w:val="left"/>
              <w:rPr>
                <w:rFonts w:ascii="Times New Roman" w:eastAsia="宋体" w:hAnsi="Times New Roman" w:cs="宋体"/>
                <w:color w:val="000000"/>
                <w:kern w:val="0"/>
                <w:szCs w:val="18"/>
              </w:rPr>
            </w:pPr>
          </w:p>
        </w:tc>
        <w:tc>
          <w:tcPr>
            <w:tcW w:w="1351"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地震监测</w:t>
            </w:r>
            <w:r>
              <w:rPr>
                <w:rFonts w:ascii="Times New Roman" w:eastAsia="宋体" w:hAnsi="Times New Roman" w:cs="宋体" w:hint="eastAsia"/>
                <w:color w:val="000000"/>
                <w:kern w:val="0"/>
                <w:szCs w:val="18"/>
              </w:rPr>
              <w:t>-</w:t>
            </w:r>
            <w:r>
              <w:rPr>
                <w:rFonts w:ascii="Times New Roman" w:eastAsia="宋体" w:hAnsi="Times New Roman" w:cs="宋体" w:hint="eastAsia"/>
                <w:color w:val="000000"/>
                <w:kern w:val="0"/>
                <w:szCs w:val="18"/>
              </w:rPr>
              <w:t>质量指标地震应急技术系统稳定运行率</w:t>
            </w:r>
          </w:p>
        </w:tc>
        <w:tc>
          <w:tcPr>
            <w:tcW w:w="764"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w:t>
            </w:r>
            <w:r>
              <w:rPr>
                <w:rFonts w:ascii="Times New Roman" w:eastAsia="宋体" w:hAnsi="Times New Roman" w:cs="宋体" w:hint="eastAsia"/>
                <w:color w:val="000000"/>
                <w:kern w:val="0"/>
                <w:szCs w:val="18"/>
              </w:rPr>
              <w:t>95%</w:t>
            </w:r>
          </w:p>
        </w:tc>
        <w:tc>
          <w:tcPr>
            <w:tcW w:w="662"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100%</w:t>
            </w:r>
          </w:p>
        </w:tc>
        <w:tc>
          <w:tcPr>
            <w:tcW w:w="395"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4</w:t>
            </w:r>
          </w:p>
        </w:tc>
        <w:tc>
          <w:tcPr>
            <w:tcW w:w="360" w:type="pct"/>
            <w:tcBorders>
              <w:top w:val="single" w:sz="4" w:space="0" w:color="auto"/>
              <w:left w:val="single" w:sz="4" w:space="0" w:color="auto"/>
              <w:bottom w:val="single" w:sz="4" w:space="0" w:color="auto"/>
              <w:right w:val="single" w:sz="4" w:space="0" w:color="auto"/>
            </w:tcBorders>
            <w:noWrap/>
            <w:vAlign w:val="center"/>
          </w:tcPr>
          <w:p w:rsidR="0038608B" w:rsidRDefault="00FA51B8">
            <w:pPr>
              <w:widowControl/>
              <w:jc w:val="center"/>
              <w:rPr>
                <w:rFonts w:ascii="Times New Roman" w:eastAsia="宋体" w:hAnsi="Times New Roman" w:cs="宋体"/>
                <w:color w:val="000000"/>
                <w:kern w:val="0"/>
                <w:szCs w:val="18"/>
                <w:highlight w:val="yellow"/>
              </w:rPr>
            </w:pPr>
            <w:r>
              <w:rPr>
                <w:rFonts w:ascii="Times New Roman" w:eastAsia="宋体" w:hAnsi="Times New Roman" w:cs="宋体" w:hint="eastAsia"/>
                <w:color w:val="000000"/>
                <w:kern w:val="0"/>
                <w:szCs w:val="18"/>
              </w:rPr>
              <w:t>4</w:t>
            </w:r>
          </w:p>
        </w:tc>
      </w:tr>
      <w:tr w:rsidR="0038608B">
        <w:trPr>
          <w:trHeight w:val="794"/>
          <w:jc w:val="center"/>
        </w:trPr>
        <w:tc>
          <w:tcPr>
            <w:tcW w:w="741" w:type="pct"/>
            <w:vMerge/>
            <w:tcBorders>
              <w:top w:val="single" w:sz="4" w:space="0" w:color="auto"/>
              <w:left w:val="single" w:sz="4" w:space="0" w:color="auto"/>
              <w:bottom w:val="single" w:sz="4" w:space="0" w:color="auto"/>
              <w:right w:val="single" w:sz="4" w:space="0" w:color="auto"/>
            </w:tcBorders>
            <w:vAlign w:val="center"/>
          </w:tcPr>
          <w:p w:rsidR="0038608B" w:rsidRDefault="0038608B">
            <w:pPr>
              <w:widowControl/>
              <w:jc w:val="left"/>
              <w:rPr>
                <w:rFonts w:ascii="Times New Roman" w:eastAsia="宋体" w:hAnsi="Times New Roman" w:cs="宋体"/>
                <w:color w:val="000000"/>
                <w:kern w:val="0"/>
                <w:szCs w:val="18"/>
              </w:rPr>
            </w:pPr>
          </w:p>
        </w:tc>
        <w:tc>
          <w:tcPr>
            <w:tcW w:w="723" w:type="pct"/>
            <w:vMerge w:val="restar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效果</w:t>
            </w:r>
          </w:p>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w:t>
            </w:r>
            <w:r>
              <w:rPr>
                <w:rFonts w:ascii="Times New Roman" w:eastAsia="宋体" w:hAnsi="Times New Roman" w:cs="宋体" w:hint="eastAsia"/>
                <w:color w:val="000000"/>
                <w:kern w:val="0"/>
                <w:szCs w:val="18"/>
              </w:rPr>
              <w:t>30</w:t>
            </w:r>
            <w:r>
              <w:rPr>
                <w:rFonts w:ascii="Times New Roman" w:eastAsia="宋体" w:hAnsi="Times New Roman" w:cs="宋体" w:hint="eastAsia"/>
                <w:color w:val="000000"/>
                <w:kern w:val="0"/>
                <w:szCs w:val="18"/>
              </w:rPr>
              <w:t>）</w:t>
            </w:r>
          </w:p>
        </w:tc>
        <w:tc>
          <w:tcPr>
            <w:tcW w:w="1351"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科普与宣传</w:t>
            </w:r>
            <w:r>
              <w:rPr>
                <w:rFonts w:ascii="Times New Roman" w:eastAsia="宋体" w:hAnsi="Times New Roman" w:cs="宋体" w:hint="eastAsia"/>
                <w:color w:val="000000"/>
                <w:kern w:val="0"/>
                <w:szCs w:val="18"/>
              </w:rPr>
              <w:t>-</w:t>
            </w:r>
            <w:r>
              <w:rPr>
                <w:rFonts w:ascii="Times New Roman" w:eastAsia="宋体" w:hAnsi="Times New Roman" w:cs="宋体" w:hint="eastAsia"/>
                <w:color w:val="000000"/>
                <w:kern w:val="0"/>
                <w:szCs w:val="18"/>
              </w:rPr>
              <w:t>社会效益指标年度覆盖人次</w:t>
            </w:r>
          </w:p>
        </w:tc>
        <w:tc>
          <w:tcPr>
            <w:tcW w:w="764"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w:t>
            </w:r>
            <w:r>
              <w:rPr>
                <w:rFonts w:ascii="Times New Roman" w:eastAsia="宋体" w:hAnsi="Times New Roman" w:cs="宋体" w:hint="eastAsia"/>
                <w:color w:val="000000"/>
                <w:kern w:val="0"/>
                <w:szCs w:val="18"/>
              </w:rPr>
              <w:t>1000</w:t>
            </w:r>
            <w:r>
              <w:rPr>
                <w:rFonts w:ascii="Times New Roman" w:eastAsia="宋体" w:hAnsi="Times New Roman" w:cs="宋体" w:hint="eastAsia"/>
                <w:color w:val="000000"/>
                <w:kern w:val="0"/>
                <w:szCs w:val="18"/>
              </w:rPr>
              <w:t>万人次</w:t>
            </w:r>
          </w:p>
        </w:tc>
        <w:tc>
          <w:tcPr>
            <w:tcW w:w="662"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5000</w:t>
            </w:r>
            <w:r>
              <w:rPr>
                <w:rFonts w:ascii="Times New Roman" w:eastAsia="宋体" w:hAnsi="Times New Roman" w:cs="宋体" w:hint="eastAsia"/>
                <w:color w:val="000000"/>
                <w:kern w:val="0"/>
                <w:szCs w:val="18"/>
              </w:rPr>
              <w:t>万人次</w:t>
            </w:r>
          </w:p>
        </w:tc>
        <w:tc>
          <w:tcPr>
            <w:tcW w:w="395" w:type="pct"/>
            <w:tcBorders>
              <w:top w:val="single" w:sz="4" w:space="0" w:color="auto"/>
              <w:left w:val="single" w:sz="4" w:space="0" w:color="auto"/>
              <w:bottom w:val="single" w:sz="4" w:space="0" w:color="auto"/>
              <w:right w:val="single" w:sz="4" w:space="0" w:color="auto"/>
            </w:tcBorders>
            <w:noWrap/>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5</w:t>
            </w:r>
          </w:p>
        </w:tc>
        <w:tc>
          <w:tcPr>
            <w:tcW w:w="360" w:type="pct"/>
            <w:tcBorders>
              <w:top w:val="single" w:sz="4" w:space="0" w:color="auto"/>
              <w:left w:val="single" w:sz="4" w:space="0" w:color="auto"/>
              <w:bottom w:val="single" w:sz="4" w:space="0" w:color="auto"/>
              <w:right w:val="single" w:sz="4" w:space="0" w:color="auto"/>
            </w:tcBorders>
            <w:noWrap/>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4</w:t>
            </w:r>
          </w:p>
        </w:tc>
      </w:tr>
      <w:tr w:rsidR="0038608B">
        <w:trPr>
          <w:trHeight w:val="907"/>
          <w:jc w:val="center"/>
        </w:trPr>
        <w:tc>
          <w:tcPr>
            <w:tcW w:w="741" w:type="pct"/>
            <w:vMerge/>
            <w:tcBorders>
              <w:top w:val="single" w:sz="4" w:space="0" w:color="auto"/>
              <w:left w:val="single" w:sz="4" w:space="0" w:color="auto"/>
              <w:bottom w:val="single" w:sz="4" w:space="0" w:color="auto"/>
              <w:right w:val="single" w:sz="4" w:space="0" w:color="auto"/>
            </w:tcBorders>
            <w:vAlign w:val="center"/>
          </w:tcPr>
          <w:p w:rsidR="0038608B" w:rsidRDefault="0038608B">
            <w:pPr>
              <w:widowControl/>
              <w:jc w:val="left"/>
              <w:rPr>
                <w:rFonts w:ascii="Times New Roman" w:eastAsia="宋体" w:hAnsi="Times New Roman" w:cs="宋体"/>
                <w:color w:val="000000"/>
                <w:kern w:val="0"/>
                <w:szCs w:val="18"/>
              </w:rPr>
            </w:pPr>
          </w:p>
        </w:tc>
        <w:tc>
          <w:tcPr>
            <w:tcW w:w="723" w:type="pct"/>
            <w:vMerge/>
            <w:tcBorders>
              <w:top w:val="single" w:sz="4" w:space="0" w:color="auto"/>
              <w:left w:val="single" w:sz="4" w:space="0" w:color="auto"/>
              <w:bottom w:val="single" w:sz="4" w:space="0" w:color="auto"/>
              <w:right w:val="single" w:sz="4" w:space="0" w:color="auto"/>
            </w:tcBorders>
            <w:vAlign w:val="center"/>
          </w:tcPr>
          <w:p w:rsidR="0038608B" w:rsidRDefault="0038608B">
            <w:pPr>
              <w:widowControl/>
              <w:jc w:val="left"/>
              <w:rPr>
                <w:rFonts w:ascii="Times New Roman" w:eastAsia="宋体" w:hAnsi="Times New Roman" w:cs="宋体"/>
                <w:color w:val="000000"/>
                <w:kern w:val="0"/>
                <w:szCs w:val="18"/>
              </w:rPr>
            </w:pPr>
          </w:p>
        </w:tc>
        <w:tc>
          <w:tcPr>
            <w:tcW w:w="1351"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地震灾害预防</w:t>
            </w:r>
            <w:r>
              <w:rPr>
                <w:rFonts w:ascii="Times New Roman" w:eastAsia="宋体" w:hAnsi="Times New Roman" w:cs="宋体" w:hint="eastAsia"/>
                <w:color w:val="000000"/>
                <w:kern w:val="0"/>
                <w:szCs w:val="18"/>
              </w:rPr>
              <w:t>-</w:t>
            </w:r>
            <w:r>
              <w:rPr>
                <w:rFonts w:ascii="Times New Roman" w:eastAsia="宋体" w:hAnsi="Times New Roman" w:cs="宋体" w:hint="eastAsia"/>
                <w:color w:val="000000"/>
                <w:kern w:val="0"/>
                <w:szCs w:val="18"/>
              </w:rPr>
              <w:t>社会效益指标地震灾害风险评估提供核心支撑，提高北京地区风险评估准确度</w:t>
            </w:r>
          </w:p>
        </w:tc>
        <w:tc>
          <w:tcPr>
            <w:tcW w:w="764"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提高</w:t>
            </w:r>
          </w:p>
        </w:tc>
        <w:tc>
          <w:tcPr>
            <w:tcW w:w="662"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提高</w:t>
            </w:r>
          </w:p>
        </w:tc>
        <w:tc>
          <w:tcPr>
            <w:tcW w:w="395"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5</w:t>
            </w:r>
          </w:p>
        </w:tc>
        <w:tc>
          <w:tcPr>
            <w:tcW w:w="360" w:type="pct"/>
            <w:tcBorders>
              <w:top w:val="single" w:sz="4" w:space="0" w:color="auto"/>
              <w:left w:val="single" w:sz="4" w:space="0" w:color="auto"/>
              <w:bottom w:val="single" w:sz="4" w:space="0" w:color="auto"/>
              <w:right w:val="single" w:sz="4" w:space="0" w:color="auto"/>
            </w:tcBorders>
            <w:noWrap/>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5</w:t>
            </w:r>
          </w:p>
        </w:tc>
      </w:tr>
      <w:tr w:rsidR="0038608B">
        <w:trPr>
          <w:trHeight w:val="907"/>
          <w:jc w:val="center"/>
        </w:trPr>
        <w:tc>
          <w:tcPr>
            <w:tcW w:w="741" w:type="pct"/>
            <w:vMerge/>
            <w:tcBorders>
              <w:top w:val="single" w:sz="4" w:space="0" w:color="auto"/>
              <w:left w:val="single" w:sz="4" w:space="0" w:color="auto"/>
              <w:bottom w:val="single" w:sz="4" w:space="0" w:color="auto"/>
              <w:right w:val="single" w:sz="4" w:space="0" w:color="auto"/>
            </w:tcBorders>
            <w:vAlign w:val="center"/>
          </w:tcPr>
          <w:p w:rsidR="0038608B" w:rsidRDefault="0038608B">
            <w:pPr>
              <w:widowControl/>
              <w:jc w:val="left"/>
              <w:rPr>
                <w:rFonts w:ascii="Times New Roman" w:eastAsia="宋体" w:hAnsi="Times New Roman" w:cs="宋体"/>
                <w:color w:val="000000"/>
                <w:kern w:val="0"/>
                <w:szCs w:val="18"/>
              </w:rPr>
            </w:pPr>
          </w:p>
        </w:tc>
        <w:tc>
          <w:tcPr>
            <w:tcW w:w="723" w:type="pct"/>
            <w:vMerge/>
            <w:tcBorders>
              <w:top w:val="single" w:sz="4" w:space="0" w:color="auto"/>
              <w:left w:val="single" w:sz="4" w:space="0" w:color="auto"/>
              <w:bottom w:val="single" w:sz="4" w:space="0" w:color="auto"/>
              <w:right w:val="single" w:sz="4" w:space="0" w:color="auto"/>
            </w:tcBorders>
            <w:vAlign w:val="center"/>
          </w:tcPr>
          <w:p w:rsidR="0038608B" w:rsidRDefault="0038608B">
            <w:pPr>
              <w:widowControl/>
              <w:jc w:val="left"/>
              <w:rPr>
                <w:rFonts w:ascii="Times New Roman" w:eastAsia="宋体" w:hAnsi="Times New Roman" w:cs="宋体"/>
                <w:color w:val="000000"/>
                <w:kern w:val="0"/>
                <w:szCs w:val="18"/>
              </w:rPr>
            </w:pPr>
          </w:p>
        </w:tc>
        <w:tc>
          <w:tcPr>
            <w:tcW w:w="1351"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地震灾害预防</w:t>
            </w:r>
            <w:r>
              <w:rPr>
                <w:rFonts w:ascii="Times New Roman" w:eastAsia="宋体" w:hAnsi="Times New Roman" w:cs="宋体" w:hint="eastAsia"/>
                <w:color w:val="000000"/>
                <w:kern w:val="0"/>
                <w:szCs w:val="18"/>
              </w:rPr>
              <w:t>-</w:t>
            </w:r>
            <w:r>
              <w:rPr>
                <w:rFonts w:ascii="Times New Roman" w:eastAsia="宋体" w:hAnsi="Times New Roman" w:cs="宋体" w:hint="eastAsia"/>
                <w:color w:val="000000"/>
                <w:kern w:val="0"/>
                <w:szCs w:val="18"/>
              </w:rPr>
              <w:t>社会效益指标部署年度全市防震减灾工作重点，扎实推进全市防震减灾工作开展</w:t>
            </w:r>
          </w:p>
        </w:tc>
        <w:tc>
          <w:tcPr>
            <w:tcW w:w="764"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优</w:t>
            </w:r>
          </w:p>
        </w:tc>
        <w:tc>
          <w:tcPr>
            <w:tcW w:w="662"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优</w:t>
            </w:r>
          </w:p>
        </w:tc>
        <w:tc>
          <w:tcPr>
            <w:tcW w:w="395"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5</w:t>
            </w:r>
          </w:p>
        </w:tc>
        <w:tc>
          <w:tcPr>
            <w:tcW w:w="360" w:type="pct"/>
            <w:tcBorders>
              <w:top w:val="single" w:sz="4" w:space="0" w:color="auto"/>
              <w:left w:val="single" w:sz="4" w:space="0" w:color="auto"/>
              <w:bottom w:val="single" w:sz="4" w:space="0" w:color="auto"/>
              <w:right w:val="single" w:sz="4" w:space="0" w:color="auto"/>
            </w:tcBorders>
            <w:noWrap/>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5</w:t>
            </w:r>
          </w:p>
        </w:tc>
      </w:tr>
      <w:tr w:rsidR="0038608B">
        <w:trPr>
          <w:trHeight w:val="907"/>
          <w:jc w:val="center"/>
        </w:trPr>
        <w:tc>
          <w:tcPr>
            <w:tcW w:w="741" w:type="pct"/>
            <w:vMerge/>
            <w:tcBorders>
              <w:top w:val="single" w:sz="4" w:space="0" w:color="auto"/>
              <w:left w:val="single" w:sz="4" w:space="0" w:color="auto"/>
              <w:bottom w:val="single" w:sz="4" w:space="0" w:color="auto"/>
              <w:right w:val="single" w:sz="4" w:space="0" w:color="auto"/>
            </w:tcBorders>
            <w:vAlign w:val="center"/>
          </w:tcPr>
          <w:p w:rsidR="0038608B" w:rsidRDefault="0038608B">
            <w:pPr>
              <w:widowControl/>
              <w:jc w:val="left"/>
              <w:rPr>
                <w:rFonts w:ascii="Times New Roman" w:eastAsia="宋体" w:hAnsi="Times New Roman" w:cs="宋体"/>
                <w:color w:val="000000"/>
                <w:kern w:val="0"/>
                <w:szCs w:val="18"/>
              </w:rPr>
            </w:pPr>
          </w:p>
        </w:tc>
        <w:tc>
          <w:tcPr>
            <w:tcW w:w="723" w:type="pct"/>
            <w:vMerge/>
            <w:tcBorders>
              <w:top w:val="single" w:sz="4" w:space="0" w:color="auto"/>
              <w:left w:val="single" w:sz="4" w:space="0" w:color="auto"/>
              <w:bottom w:val="single" w:sz="4" w:space="0" w:color="auto"/>
              <w:right w:val="single" w:sz="4" w:space="0" w:color="auto"/>
            </w:tcBorders>
            <w:vAlign w:val="center"/>
          </w:tcPr>
          <w:p w:rsidR="0038608B" w:rsidRDefault="0038608B">
            <w:pPr>
              <w:widowControl/>
              <w:jc w:val="left"/>
              <w:rPr>
                <w:rFonts w:ascii="Times New Roman" w:eastAsia="宋体" w:hAnsi="Times New Roman" w:cs="宋体"/>
                <w:color w:val="000000"/>
                <w:kern w:val="0"/>
                <w:szCs w:val="18"/>
              </w:rPr>
            </w:pPr>
          </w:p>
        </w:tc>
        <w:tc>
          <w:tcPr>
            <w:tcW w:w="1351"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地震灾害预防</w:t>
            </w:r>
            <w:r>
              <w:rPr>
                <w:rFonts w:ascii="Times New Roman" w:eastAsia="宋体" w:hAnsi="Times New Roman" w:cs="宋体" w:hint="eastAsia"/>
                <w:color w:val="000000"/>
                <w:kern w:val="0"/>
                <w:szCs w:val="18"/>
              </w:rPr>
              <w:t>-</w:t>
            </w:r>
            <w:r>
              <w:rPr>
                <w:rFonts w:ascii="Times New Roman" w:eastAsia="宋体" w:hAnsi="Times New Roman" w:cs="宋体" w:hint="eastAsia"/>
                <w:color w:val="000000"/>
                <w:kern w:val="0"/>
                <w:szCs w:val="18"/>
              </w:rPr>
              <w:t>社会效益指标北京地区强震风险监测能力的提升</w:t>
            </w:r>
          </w:p>
        </w:tc>
        <w:tc>
          <w:tcPr>
            <w:tcW w:w="764"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提升</w:t>
            </w:r>
          </w:p>
        </w:tc>
        <w:tc>
          <w:tcPr>
            <w:tcW w:w="662"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提升</w:t>
            </w:r>
          </w:p>
        </w:tc>
        <w:tc>
          <w:tcPr>
            <w:tcW w:w="395"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5</w:t>
            </w:r>
          </w:p>
        </w:tc>
        <w:tc>
          <w:tcPr>
            <w:tcW w:w="360" w:type="pct"/>
            <w:tcBorders>
              <w:top w:val="single" w:sz="4" w:space="0" w:color="auto"/>
              <w:left w:val="single" w:sz="4" w:space="0" w:color="auto"/>
              <w:bottom w:val="single" w:sz="4" w:space="0" w:color="auto"/>
              <w:right w:val="single" w:sz="4" w:space="0" w:color="auto"/>
            </w:tcBorders>
            <w:noWrap/>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5</w:t>
            </w:r>
          </w:p>
        </w:tc>
      </w:tr>
      <w:tr w:rsidR="0038608B">
        <w:trPr>
          <w:trHeight w:val="907"/>
          <w:jc w:val="center"/>
        </w:trPr>
        <w:tc>
          <w:tcPr>
            <w:tcW w:w="741" w:type="pct"/>
            <w:vMerge/>
            <w:tcBorders>
              <w:top w:val="single" w:sz="4" w:space="0" w:color="auto"/>
              <w:left w:val="single" w:sz="4" w:space="0" w:color="auto"/>
              <w:bottom w:val="single" w:sz="4" w:space="0" w:color="auto"/>
              <w:right w:val="single" w:sz="4" w:space="0" w:color="auto"/>
            </w:tcBorders>
            <w:vAlign w:val="center"/>
          </w:tcPr>
          <w:p w:rsidR="0038608B" w:rsidRDefault="0038608B">
            <w:pPr>
              <w:widowControl/>
              <w:jc w:val="left"/>
              <w:rPr>
                <w:rFonts w:ascii="Times New Roman" w:eastAsia="宋体" w:hAnsi="Times New Roman" w:cs="宋体"/>
                <w:color w:val="000000"/>
                <w:kern w:val="0"/>
                <w:szCs w:val="18"/>
              </w:rPr>
            </w:pPr>
          </w:p>
        </w:tc>
        <w:tc>
          <w:tcPr>
            <w:tcW w:w="723" w:type="pct"/>
            <w:vMerge/>
            <w:tcBorders>
              <w:top w:val="single" w:sz="4" w:space="0" w:color="auto"/>
              <w:left w:val="single" w:sz="4" w:space="0" w:color="auto"/>
              <w:bottom w:val="single" w:sz="4" w:space="0" w:color="auto"/>
              <w:right w:val="single" w:sz="4" w:space="0" w:color="auto"/>
            </w:tcBorders>
            <w:vAlign w:val="center"/>
          </w:tcPr>
          <w:p w:rsidR="0038608B" w:rsidRDefault="0038608B">
            <w:pPr>
              <w:widowControl/>
              <w:jc w:val="left"/>
              <w:rPr>
                <w:rFonts w:ascii="Times New Roman" w:eastAsia="宋体" w:hAnsi="Times New Roman" w:cs="宋体"/>
                <w:color w:val="000000"/>
                <w:kern w:val="0"/>
                <w:szCs w:val="18"/>
              </w:rPr>
            </w:pPr>
          </w:p>
        </w:tc>
        <w:tc>
          <w:tcPr>
            <w:tcW w:w="1351"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地震监测</w:t>
            </w:r>
            <w:r>
              <w:rPr>
                <w:rFonts w:ascii="Times New Roman" w:eastAsia="宋体" w:hAnsi="Times New Roman" w:cs="宋体" w:hint="eastAsia"/>
                <w:color w:val="000000"/>
                <w:kern w:val="0"/>
                <w:szCs w:val="18"/>
              </w:rPr>
              <w:t>-</w:t>
            </w:r>
            <w:r>
              <w:rPr>
                <w:rFonts w:ascii="Times New Roman" w:eastAsia="宋体" w:hAnsi="Times New Roman" w:cs="宋体" w:hint="eastAsia"/>
                <w:color w:val="000000"/>
                <w:kern w:val="0"/>
                <w:szCs w:val="18"/>
              </w:rPr>
              <w:t>社会效益指标为北京地区地震监测、地震信息服务及地震应急指挥等业务提供可靠光纤专线信道和卫星信道，促进北京地区防震减灾能力提升</w:t>
            </w:r>
          </w:p>
        </w:tc>
        <w:tc>
          <w:tcPr>
            <w:tcW w:w="764"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优</w:t>
            </w:r>
          </w:p>
        </w:tc>
        <w:tc>
          <w:tcPr>
            <w:tcW w:w="662"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优</w:t>
            </w:r>
          </w:p>
        </w:tc>
        <w:tc>
          <w:tcPr>
            <w:tcW w:w="395"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5</w:t>
            </w:r>
          </w:p>
        </w:tc>
        <w:tc>
          <w:tcPr>
            <w:tcW w:w="360" w:type="pct"/>
            <w:tcBorders>
              <w:top w:val="single" w:sz="4" w:space="0" w:color="auto"/>
              <w:left w:val="single" w:sz="4" w:space="0" w:color="auto"/>
              <w:bottom w:val="single" w:sz="4" w:space="0" w:color="auto"/>
              <w:right w:val="single" w:sz="4" w:space="0" w:color="auto"/>
            </w:tcBorders>
            <w:noWrap/>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5</w:t>
            </w:r>
          </w:p>
        </w:tc>
      </w:tr>
      <w:tr w:rsidR="0038608B">
        <w:trPr>
          <w:trHeight w:val="907"/>
          <w:jc w:val="center"/>
        </w:trPr>
        <w:tc>
          <w:tcPr>
            <w:tcW w:w="741" w:type="pct"/>
            <w:vMerge/>
            <w:tcBorders>
              <w:top w:val="single" w:sz="4" w:space="0" w:color="auto"/>
              <w:left w:val="single" w:sz="4" w:space="0" w:color="auto"/>
              <w:bottom w:val="single" w:sz="4" w:space="0" w:color="auto"/>
              <w:right w:val="single" w:sz="4" w:space="0" w:color="auto"/>
            </w:tcBorders>
            <w:vAlign w:val="center"/>
          </w:tcPr>
          <w:p w:rsidR="0038608B" w:rsidRDefault="0038608B">
            <w:pPr>
              <w:widowControl/>
              <w:jc w:val="left"/>
              <w:rPr>
                <w:rFonts w:ascii="Times New Roman" w:eastAsia="宋体" w:hAnsi="Times New Roman" w:cs="宋体"/>
                <w:color w:val="000000"/>
                <w:kern w:val="0"/>
                <w:szCs w:val="18"/>
              </w:rPr>
            </w:pPr>
          </w:p>
        </w:tc>
        <w:tc>
          <w:tcPr>
            <w:tcW w:w="723" w:type="pct"/>
            <w:vMerge/>
            <w:tcBorders>
              <w:top w:val="single" w:sz="4" w:space="0" w:color="auto"/>
              <w:left w:val="single" w:sz="4" w:space="0" w:color="auto"/>
              <w:bottom w:val="single" w:sz="4" w:space="0" w:color="auto"/>
              <w:right w:val="single" w:sz="4" w:space="0" w:color="auto"/>
            </w:tcBorders>
            <w:vAlign w:val="center"/>
          </w:tcPr>
          <w:p w:rsidR="0038608B" w:rsidRDefault="0038608B">
            <w:pPr>
              <w:widowControl/>
              <w:jc w:val="left"/>
              <w:rPr>
                <w:rFonts w:ascii="Times New Roman" w:eastAsia="宋体" w:hAnsi="Times New Roman" w:cs="宋体"/>
                <w:color w:val="000000"/>
                <w:kern w:val="0"/>
                <w:szCs w:val="18"/>
              </w:rPr>
            </w:pPr>
          </w:p>
        </w:tc>
        <w:tc>
          <w:tcPr>
            <w:tcW w:w="1351"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地震灾害预防</w:t>
            </w:r>
            <w:r>
              <w:rPr>
                <w:rFonts w:ascii="Times New Roman" w:eastAsia="宋体" w:hAnsi="Times New Roman" w:cs="宋体" w:hint="eastAsia"/>
                <w:color w:val="000000"/>
                <w:kern w:val="0"/>
                <w:szCs w:val="18"/>
              </w:rPr>
              <w:t>-</w:t>
            </w:r>
            <w:r>
              <w:rPr>
                <w:rFonts w:ascii="Times New Roman" w:eastAsia="宋体" w:hAnsi="Times New Roman" w:cs="宋体" w:hint="eastAsia"/>
                <w:color w:val="000000"/>
                <w:kern w:val="0"/>
                <w:szCs w:val="18"/>
              </w:rPr>
              <w:t>服务对象满意度指标网络抽样调查满意度</w:t>
            </w:r>
          </w:p>
        </w:tc>
        <w:tc>
          <w:tcPr>
            <w:tcW w:w="764"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w:t>
            </w:r>
            <w:r>
              <w:rPr>
                <w:rFonts w:ascii="Times New Roman" w:eastAsia="宋体" w:hAnsi="Times New Roman" w:cs="宋体" w:hint="eastAsia"/>
                <w:color w:val="000000"/>
                <w:kern w:val="0"/>
                <w:szCs w:val="18"/>
              </w:rPr>
              <w:t>80%</w:t>
            </w:r>
          </w:p>
        </w:tc>
        <w:tc>
          <w:tcPr>
            <w:tcW w:w="662"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91.67%</w:t>
            </w:r>
          </w:p>
        </w:tc>
        <w:tc>
          <w:tcPr>
            <w:tcW w:w="395"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5</w:t>
            </w:r>
          </w:p>
        </w:tc>
        <w:tc>
          <w:tcPr>
            <w:tcW w:w="360" w:type="pct"/>
            <w:tcBorders>
              <w:top w:val="single" w:sz="4" w:space="0" w:color="auto"/>
              <w:left w:val="single" w:sz="4" w:space="0" w:color="auto"/>
              <w:bottom w:val="single" w:sz="4" w:space="0" w:color="auto"/>
              <w:right w:val="single" w:sz="4" w:space="0" w:color="auto"/>
            </w:tcBorders>
            <w:noWrap/>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5</w:t>
            </w:r>
          </w:p>
        </w:tc>
      </w:tr>
      <w:tr w:rsidR="0038608B">
        <w:trPr>
          <w:trHeight w:val="624"/>
          <w:jc w:val="center"/>
        </w:trPr>
        <w:tc>
          <w:tcPr>
            <w:tcW w:w="741"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adjustRightInd w:val="0"/>
              <w:snapToGrid w:val="0"/>
              <w:jc w:val="center"/>
              <w:rPr>
                <w:rFonts w:ascii="Times New Roman" w:eastAsia="宋体" w:hAnsi="Times New Roman" w:cs="宋体"/>
                <w:b/>
                <w:bCs/>
                <w:color w:val="000000"/>
                <w:kern w:val="0"/>
                <w:szCs w:val="18"/>
              </w:rPr>
            </w:pPr>
            <w:r>
              <w:rPr>
                <w:rFonts w:ascii="Times New Roman" w:eastAsia="宋体" w:hAnsi="Times New Roman" w:cs="宋体" w:hint="eastAsia"/>
                <w:b/>
                <w:bCs/>
                <w:color w:val="000000"/>
                <w:kern w:val="0"/>
                <w:szCs w:val="18"/>
              </w:rPr>
              <w:t>一</w:t>
            </w:r>
            <w:r>
              <w:rPr>
                <w:rFonts w:ascii="Times New Roman" w:eastAsia="宋体" w:hAnsi="Times New Roman" w:cs="宋体"/>
                <w:b/>
                <w:bCs/>
                <w:color w:val="000000"/>
                <w:kern w:val="0"/>
                <w:szCs w:val="18"/>
              </w:rPr>
              <w:t>级指标</w:t>
            </w:r>
          </w:p>
        </w:tc>
        <w:tc>
          <w:tcPr>
            <w:tcW w:w="723"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adjustRightInd w:val="0"/>
              <w:snapToGrid w:val="0"/>
              <w:jc w:val="center"/>
              <w:rPr>
                <w:rFonts w:ascii="Times New Roman" w:eastAsia="宋体" w:hAnsi="Times New Roman" w:cs="宋体"/>
                <w:b/>
                <w:bCs/>
                <w:color w:val="000000"/>
                <w:kern w:val="0"/>
                <w:szCs w:val="18"/>
              </w:rPr>
            </w:pPr>
            <w:r>
              <w:rPr>
                <w:rFonts w:ascii="Times New Roman" w:eastAsia="宋体" w:hAnsi="Times New Roman" w:cs="宋体" w:hint="eastAsia"/>
                <w:b/>
                <w:bCs/>
                <w:color w:val="000000"/>
                <w:kern w:val="0"/>
                <w:szCs w:val="18"/>
              </w:rPr>
              <w:t>二</w:t>
            </w:r>
            <w:r>
              <w:rPr>
                <w:rFonts w:ascii="Times New Roman" w:eastAsia="宋体" w:hAnsi="Times New Roman" w:cs="宋体"/>
                <w:b/>
                <w:bCs/>
                <w:color w:val="000000"/>
                <w:kern w:val="0"/>
                <w:szCs w:val="18"/>
              </w:rPr>
              <w:t>级指标</w:t>
            </w:r>
          </w:p>
        </w:tc>
        <w:tc>
          <w:tcPr>
            <w:tcW w:w="1351"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adjustRightInd w:val="0"/>
              <w:snapToGrid w:val="0"/>
              <w:jc w:val="center"/>
              <w:rPr>
                <w:rFonts w:ascii="Times New Roman" w:eastAsia="宋体" w:hAnsi="Times New Roman" w:cs="宋体"/>
                <w:b/>
                <w:bCs/>
                <w:color w:val="000000"/>
                <w:kern w:val="0"/>
                <w:szCs w:val="18"/>
              </w:rPr>
            </w:pPr>
            <w:r>
              <w:rPr>
                <w:rFonts w:ascii="Times New Roman" w:eastAsia="宋体" w:hAnsi="Times New Roman" w:cs="宋体" w:hint="eastAsia"/>
                <w:b/>
                <w:bCs/>
                <w:color w:val="000000"/>
                <w:kern w:val="0"/>
                <w:szCs w:val="18"/>
              </w:rPr>
              <w:t>三</w:t>
            </w:r>
            <w:r>
              <w:rPr>
                <w:rFonts w:ascii="Times New Roman" w:eastAsia="宋体" w:hAnsi="Times New Roman" w:cs="宋体"/>
                <w:b/>
                <w:bCs/>
                <w:color w:val="000000"/>
                <w:kern w:val="0"/>
                <w:szCs w:val="18"/>
              </w:rPr>
              <w:t>级指标</w:t>
            </w:r>
          </w:p>
        </w:tc>
        <w:tc>
          <w:tcPr>
            <w:tcW w:w="764"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adjustRightInd w:val="0"/>
              <w:snapToGrid w:val="0"/>
              <w:jc w:val="center"/>
              <w:rPr>
                <w:rFonts w:ascii="Times New Roman" w:eastAsia="宋体" w:hAnsi="Times New Roman" w:cs="宋体"/>
                <w:b/>
                <w:bCs/>
                <w:color w:val="000000"/>
                <w:kern w:val="0"/>
                <w:szCs w:val="18"/>
              </w:rPr>
            </w:pPr>
            <w:r>
              <w:rPr>
                <w:rFonts w:ascii="Times New Roman" w:eastAsia="宋体" w:hAnsi="Times New Roman" w:cs="宋体" w:hint="eastAsia"/>
                <w:b/>
                <w:bCs/>
                <w:color w:val="000000"/>
                <w:kern w:val="0"/>
                <w:szCs w:val="18"/>
              </w:rPr>
              <w:t>指标</w:t>
            </w:r>
            <w:r>
              <w:rPr>
                <w:rFonts w:ascii="Times New Roman" w:eastAsia="宋体" w:hAnsi="Times New Roman" w:cs="宋体"/>
                <w:b/>
                <w:bCs/>
                <w:color w:val="000000"/>
                <w:kern w:val="0"/>
                <w:szCs w:val="18"/>
              </w:rPr>
              <w:t>值</w:t>
            </w:r>
          </w:p>
        </w:tc>
        <w:tc>
          <w:tcPr>
            <w:tcW w:w="662"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adjustRightInd w:val="0"/>
              <w:snapToGrid w:val="0"/>
              <w:jc w:val="center"/>
              <w:rPr>
                <w:rFonts w:ascii="Times New Roman" w:eastAsia="宋体" w:hAnsi="Times New Roman" w:cs="宋体"/>
                <w:b/>
                <w:bCs/>
                <w:color w:val="000000"/>
                <w:kern w:val="0"/>
                <w:szCs w:val="18"/>
              </w:rPr>
            </w:pPr>
            <w:r>
              <w:rPr>
                <w:rFonts w:ascii="Times New Roman" w:eastAsia="宋体" w:hAnsi="Times New Roman" w:cs="宋体" w:hint="eastAsia"/>
                <w:b/>
                <w:bCs/>
                <w:color w:val="000000"/>
                <w:kern w:val="0"/>
                <w:szCs w:val="18"/>
              </w:rPr>
              <w:t>完成</w:t>
            </w:r>
            <w:r>
              <w:rPr>
                <w:rFonts w:ascii="Times New Roman" w:eastAsia="宋体" w:hAnsi="Times New Roman" w:cs="宋体"/>
                <w:b/>
                <w:bCs/>
                <w:color w:val="000000"/>
                <w:kern w:val="0"/>
                <w:szCs w:val="18"/>
              </w:rPr>
              <w:t>值</w:t>
            </w:r>
          </w:p>
        </w:tc>
        <w:tc>
          <w:tcPr>
            <w:tcW w:w="395" w:type="pct"/>
            <w:tcBorders>
              <w:top w:val="single" w:sz="4" w:space="0" w:color="auto"/>
              <w:left w:val="single" w:sz="4" w:space="0" w:color="auto"/>
              <w:bottom w:val="single" w:sz="4" w:space="0" w:color="auto"/>
              <w:right w:val="single" w:sz="4" w:space="0" w:color="auto"/>
            </w:tcBorders>
            <w:noWrap/>
            <w:vAlign w:val="center"/>
          </w:tcPr>
          <w:p w:rsidR="0038608B" w:rsidRDefault="00FA51B8">
            <w:pPr>
              <w:widowControl/>
              <w:adjustRightInd w:val="0"/>
              <w:snapToGrid w:val="0"/>
              <w:jc w:val="center"/>
              <w:rPr>
                <w:rFonts w:ascii="Times New Roman" w:eastAsia="宋体" w:hAnsi="Times New Roman" w:cs="宋体"/>
                <w:b/>
                <w:bCs/>
                <w:color w:val="000000"/>
                <w:kern w:val="0"/>
                <w:szCs w:val="18"/>
              </w:rPr>
            </w:pPr>
            <w:r>
              <w:rPr>
                <w:rFonts w:ascii="Times New Roman" w:eastAsia="宋体" w:hAnsi="Times New Roman" w:cs="宋体" w:hint="eastAsia"/>
                <w:b/>
                <w:bCs/>
                <w:color w:val="000000"/>
                <w:kern w:val="0"/>
                <w:szCs w:val="18"/>
              </w:rPr>
              <w:t>分</w:t>
            </w:r>
            <w:r>
              <w:rPr>
                <w:rFonts w:ascii="Times New Roman" w:eastAsia="宋体" w:hAnsi="Times New Roman" w:cs="宋体"/>
                <w:b/>
                <w:bCs/>
                <w:color w:val="000000"/>
                <w:kern w:val="0"/>
                <w:szCs w:val="18"/>
              </w:rPr>
              <w:t>值</w:t>
            </w:r>
          </w:p>
        </w:tc>
        <w:tc>
          <w:tcPr>
            <w:tcW w:w="360" w:type="pct"/>
            <w:tcBorders>
              <w:top w:val="single" w:sz="4" w:space="0" w:color="auto"/>
              <w:left w:val="single" w:sz="4" w:space="0" w:color="auto"/>
              <w:bottom w:val="single" w:sz="4" w:space="0" w:color="auto"/>
              <w:right w:val="single" w:sz="4" w:space="0" w:color="auto"/>
            </w:tcBorders>
            <w:noWrap/>
            <w:vAlign w:val="center"/>
          </w:tcPr>
          <w:p w:rsidR="0038608B" w:rsidRDefault="00FA51B8">
            <w:pPr>
              <w:widowControl/>
              <w:adjustRightInd w:val="0"/>
              <w:snapToGrid w:val="0"/>
              <w:jc w:val="center"/>
              <w:rPr>
                <w:rFonts w:ascii="Times New Roman" w:eastAsia="宋体" w:hAnsi="Times New Roman" w:cs="宋体"/>
                <w:b/>
                <w:bCs/>
                <w:color w:val="000000"/>
                <w:kern w:val="0"/>
                <w:szCs w:val="18"/>
              </w:rPr>
            </w:pPr>
            <w:r>
              <w:rPr>
                <w:rFonts w:ascii="Times New Roman" w:eastAsia="宋体" w:hAnsi="Times New Roman" w:cs="宋体" w:hint="eastAsia"/>
                <w:b/>
                <w:bCs/>
                <w:color w:val="000000"/>
                <w:kern w:val="0"/>
                <w:szCs w:val="18"/>
              </w:rPr>
              <w:t>得</w:t>
            </w:r>
            <w:r>
              <w:rPr>
                <w:rFonts w:ascii="Times New Roman" w:eastAsia="宋体" w:hAnsi="Times New Roman" w:cs="宋体"/>
                <w:b/>
                <w:bCs/>
                <w:color w:val="000000"/>
                <w:kern w:val="0"/>
                <w:szCs w:val="18"/>
              </w:rPr>
              <w:t>分</w:t>
            </w:r>
          </w:p>
        </w:tc>
      </w:tr>
      <w:tr w:rsidR="0038608B">
        <w:trPr>
          <w:trHeight w:val="624"/>
          <w:jc w:val="center"/>
        </w:trPr>
        <w:tc>
          <w:tcPr>
            <w:tcW w:w="741" w:type="pct"/>
            <w:vMerge w:val="restar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预算管理情况</w:t>
            </w:r>
          </w:p>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w:t>
            </w:r>
            <w:r>
              <w:rPr>
                <w:rFonts w:ascii="Times New Roman" w:eastAsia="宋体" w:hAnsi="Times New Roman" w:cs="宋体" w:hint="eastAsia"/>
                <w:color w:val="000000"/>
                <w:kern w:val="0"/>
                <w:szCs w:val="18"/>
              </w:rPr>
              <w:t>20</w:t>
            </w:r>
            <w:r>
              <w:rPr>
                <w:rFonts w:ascii="Times New Roman" w:eastAsia="宋体" w:hAnsi="Times New Roman" w:cs="宋体" w:hint="eastAsia"/>
                <w:color w:val="000000"/>
                <w:kern w:val="0"/>
                <w:szCs w:val="18"/>
              </w:rPr>
              <w:t>）</w:t>
            </w:r>
          </w:p>
        </w:tc>
        <w:tc>
          <w:tcPr>
            <w:tcW w:w="723" w:type="pct"/>
            <w:vMerge w:val="restar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财务管理（</w:t>
            </w:r>
            <w:r>
              <w:rPr>
                <w:rFonts w:ascii="Times New Roman" w:eastAsia="宋体" w:hAnsi="Times New Roman" w:cs="宋体" w:hint="eastAsia"/>
                <w:color w:val="000000"/>
                <w:kern w:val="0"/>
                <w:szCs w:val="18"/>
              </w:rPr>
              <w:t>4</w:t>
            </w:r>
            <w:r>
              <w:rPr>
                <w:rFonts w:ascii="Times New Roman" w:eastAsia="宋体" w:hAnsi="Times New Roman" w:cs="宋体" w:hint="eastAsia"/>
                <w:color w:val="000000"/>
                <w:kern w:val="0"/>
                <w:szCs w:val="18"/>
              </w:rPr>
              <w:t>）</w:t>
            </w:r>
          </w:p>
        </w:tc>
        <w:tc>
          <w:tcPr>
            <w:tcW w:w="1351"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财务管理制度健全性</w:t>
            </w:r>
          </w:p>
        </w:tc>
        <w:tc>
          <w:tcPr>
            <w:tcW w:w="764"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优</w:t>
            </w:r>
          </w:p>
        </w:tc>
        <w:tc>
          <w:tcPr>
            <w:tcW w:w="662"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优</w:t>
            </w:r>
          </w:p>
        </w:tc>
        <w:tc>
          <w:tcPr>
            <w:tcW w:w="395" w:type="pct"/>
            <w:tcBorders>
              <w:top w:val="single" w:sz="4" w:space="0" w:color="auto"/>
              <w:left w:val="single" w:sz="4" w:space="0" w:color="auto"/>
              <w:bottom w:val="single" w:sz="4" w:space="0" w:color="auto"/>
              <w:right w:val="single" w:sz="4" w:space="0" w:color="auto"/>
            </w:tcBorders>
            <w:noWrap/>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1</w:t>
            </w:r>
          </w:p>
        </w:tc>
        <w:tc>
          <w:tcPr>
            <w:tcW w:w="360" w:type="pct"/>
            <w:tcBorders>
              <w:top w:val="single" w:sz="4" w:space="0" w:color="auto"/>
              <w:left w:val="single" w:sz="4" w:space="0" w:color="auto"/>
              <w:bottom w:val="single" w:sz="4" w:space="0" w:color="auto"/>
              <w:right w:val="single" w:sz="4" w:space="0" w:color="auto"/>
            </w:tcBorders>
            <w:noWrap/>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1</w:t>
            </w:r>
          </w:p>
        </w:tc>
      </w:tr>
      <w:tr w:rsidR="0038608B">
        <w:trPr>
          <w:trHeight w:val="624"/>
          <w:jc w:val="center"/>
        </w:trPr>
        <w:tc>
          <w:tcPr>
            <w:tcW w:w="741" w:type="pct"/>
            <w:vMerge/>
            <w:tcBorders>
              <w:top w:val="single" w:sz="4" w:space="0" w:color="auto"/>
              <w:left w:val="single" w:sz="4" w:space="0" w:color="auto"/>
              <w:bottom w:val="single" w:sz="4" w:space="0" w:color="auto"/>
              <w:right w:val="single" w:sz="4" w:space="0" w:color="auto"/>
            </w:tcBorders>
            <w:vAlign w:val="center"/>
          </w:tcPr>
          <w:p w:rsidR="0038608B" w:rsidRDefault="0038608B">
            <w:pPr>
              <w:widowControl/>
              <w:jc w:val="left"/>
              <w:rPr>
                <w:rFonts w:ascii="Times New Roman" w:eastAsia="宋体" w:hAnsi="Times New Roman" w:cs="宋体"/>
                <w:color w:val="000000"/>
                <w:kern w:val="0"/>
                <w:szCs w:val="18"/>
              </w:rPr>
            </w:pPr>
          </w:p>
        </w:tc>
        <w:tc>
          <w:tcPr>
            <w:tcW w:w="723" w:type="pct"/>
            <w:vMerge/>
            <w:tcBorders>
              <w:top w:val="single" w:sz="4" w:space="0" w:color="auto"/>
              <w:left w:val="single" w:sz="4" w:space="0" w:color="auto"/>
              <w:bottom w:val="single" w:sz="4" w:space="0" w:color="auto"/>
              <w:right w:val="single" w:sz="4" w:space="0" w:color="auto"/>
            </w:tcBorders>
            <w:vAlign w:val="center"/>
          </w:tcPr>
          <w:p w:rsidR="0038608B" w:rsidRDefault="0038608B">
            <w:pPr>
              <w:widowControl/>
              <w:jc w:val="left"/>
              <w:rPr>
                <w:rFonts w:ascii="Times New Roman" w:eastAsia="宋体" w:hAnsi="Times New Roman" w:cs="宋体"/>
                <w:color w:val="000000"/>
                <w:kern w:val="0"/>
                <w:szCs w:val="18"/>
              </w:rPr>
            </w:pPr>
          </w:p>
        </w:tc>
        <w:tc>
          <w:tcPr>
            <w:tcW w:w="1351"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资金使用合</w:t>
            </w:r>
            <w:proofErr w:type="gramStart"/>
            <w:r>
              <w:rPr>
                <w:rFonts w:ascii="Times New Roman" w:eastAsia="宋体" w:hAnsi="Times New Roman" w:cs="宋体" w:hint="eastAsia"/>
                <w:color w:val="000000"/>
                <w:kern w:val="0"/>
                <w:szCs w:val="18"/>
              </w:rPr>
              <w:t>规</w:t>
            </w:r>
            <w:proofErr w:type="gramEnd"/>
            <w:r>
              <w:rPr>
                <w:rFonts w:ascii="Times New Roman" w:eastAsia="宋体" w:hAnsi="Times New Roman" w:cs="宋体" w:hint="eastAsia"/>
                <w:color w:val="000000"/>
                <w:kern w:val="0"/>
                <w:szCs w:val="18"/>
              </w:rPr>
              <w:t>性和安全性</w:t>
            </w:r>
          </w:p>
        </w:tc>
        <w:tc>
          <w:tcPr>
            <w:tcW w:w="764"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优</w:t>
            </w:r>
          </w:p>
        </w:tc>
        <w:tc>
          <w:tcPr>
            <w:tcW w:w="662"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优</w:t>
            </w:r>
          </w:p>
        </w:tc>
        <w:tc>
          <w:tcPr>
            <w:tcW w:w="395" w:type="pct"/>
            <w:tcBorders>
              <w:top w:val="single" w:sz="4" w:space="0" w:color="auto"/>
              <w:left w:val="single" w:sz="4" w:space="0" w:color="auto"/>
              <w:bottom w:val="single" w:sz="4" w:space="0" w:color="auto"/>
              <w:right w:val="single" w:sz="4" w:space="0" w:color="auto"/>
            </w:tcBorders>
            <w:noWrap/>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2</w:t>
            </w:r>
          </w:p>
        </w:tc>
        <w:tc>
          <w:tcPr>
            <w:tcW w:w="360" w:type="pct"/>
            <w:tcBorders>
              <w:top w:val="single" w:sz="4" w:space="0" w:color="auto"/>
              <w:left w:val="single" w:sz="4" w:space="0" w:color="auto"/>
              <w:bottom w:val="single" w:sz="4" w:space="0" w:color="auto"/>
              <w:right w:val="single" w:sz="4" w:space="0" w:color="auto"/>
            </w:tcBorders>
            <w:noWrap/>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2</w:t>
            </w:r>
          </w:p>
        </w:tc>
      </w:tr>
      <w:tr w:rsidR="0038608B">
        <w:trPr>
          <w:trHeight w:val="624"/>
          <w:jc w:val="center"/>
        </w:trPr>
        <w:tc>
          <w:tcPr>
            <w:tcW w:w="741" w:type="pct"/>
            <w:vMerge/>
            <w:tcBorders>
              <w:top w:val="single" w:sz="4" w:space="0" w:color="auto"/>
              <w:left w:val="single" w:sz="4" w:space="0" w:color="auto"/>
              <w:bottom w:val="single" w:sz="4" w:space="0" w:color="auto"/>
              <w:right w:val="single" w:sz="4" w:space="0" w:color="auto"/>
            </w:tcBorders>
            <w:vAlign w:val="center"/>
          </w:tcPr>
          <w:p w:rsidR="0038608B" w:rsidRDefault="0038608B">
            <w:pPr>
              <w:widowControl/>
              <w:jc w:val="left"/>
              <w:rPr>
                <w:rFonts w:ascii="Times New Roman" w:eastAsia="宋体" w:hAnsi="Times New Roman" w:cs="宋体"/>
                <w:color w:val="000000"/>
                <w:kern w:val="0"/>
                <w:szCs w:val="18"/>
              </w:rPr>
            </w:pPr>
          </w:p>
        </w:tc>
        <w:tc>
          <w:tcPr>
            <w:tcW w:w="723" w:type="pct"/>
            <w:vMerge/>
            <w:tcBorders>
              <w:top w:val="single" w:sz="4" w:space="0" w:color="auto"/>
              <w:left w:val="single" w:sz="4" w:space="0" w:color="auto"/>
              <w:bottom w:val="single" w:sz="4" w:space="0" w:color="auto"/>
              <w:right w:val="single" w:sz="4" w:space="0" w:color="auto"/>
            </w:tcBorders>
            <w:vAlign w:val="center"/>
          </w:tcPr>
          <w:p w:rsidR="0038608B" w:rsidRDefault="0038608B">
            <w:pPr>
              <w:widowControl/>
              <w:jc w:val="left"/>
              <w:rPr>
                <w:rFonts w:ascii="Times New Roman" w:eastAsia="宋体" w:hAnsi="Times New Roman" w:cs="宋体"/>
                <w:color w:val="000000"/>
                <w:kern w:val="0"/>
                <w:szCs w:val="18"/>
              </w:rPr>
            </w:pPr>
          </w:p>
        </w:tc>
        <w:tc>
          <w:tcPr>
            <w:tcW w:w="1351"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会计基础信息完善性</w:t>
            </w:r>
          </w:p>
        </w:tc>
        <w:tc>
          <w:tcPr>
            <w:tcW w:w="764"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优</w:t>
            </w:r>
          </w:p>
        </w:tc>
        <w:tc>
          <w:tcPr>
            <w:tcW w:w="662"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优</w:t>
            </w:r>
          </w:p>
        </w:tc>
        <w:tc>
          <w:tcPr>
            <w:tcW w:w="395" w:type="pct"/>
            <w:tcBorders>
              <w:top w:val="single" w:sz="4" w:space="0" w:color="auto"/>
              <w:left w:val="single" w:sz="4" w:space="0" w:color="auto"/>
              <w:bottom w:val="single" w:sz="4" w:space="0" w:color="auto"/>
              <w:right w:val="single" w:sz="4" w:space="0" w:color="auto"/>
            </w:tcBorders>
            <w:noWrap/>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1</w:t>
            </w:r>
          </w:p>
        </w:tc>
        <w:tc>
          <w:tcPr>
            <w:tcW w:w="360" w:type="pct"/>
            <w:tcBorders>
              <w:top w:val="single" w:sz="4" w:space="0" w:color="auto"/>
              <w:left w:val="single" w:sz="4" w:space="0" w:color="auto"/>
              <w:bottom w:val="single" w:sz="4" w:space="0" w:color="auto"/>
              <w:right w:val="single" w:sz="4" w:space="0" w:color="auto"/>
            </w:tcBorders>
            <w:noWrap/>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1</w:t>
            </w:r>
          </w:p>
        </w:tc>
      </w:tr>
      <w:tr w:rsidR="0038608B">
        <w:trPr>
          <w:trHeight w:val="624"/>
          <w:jc w:val="center"/>
        </w:trPr>
        <w:tc>
          <w:tcPr>
            <w:tcW w:w="741" w:type="pct"/>
            <w:vMerge/>
            <w:tcBorders>
              <w:top w:val="single" w:sz="4" w:space="0" w:color="auto"/>
              <w:left w:val="single" w:sz="4" w:space="0" w:color="auto"/>
              <w:bottom w:val="single" w:sz="4" w:space="0" w:color="auto"/>
              <w:right w:val="single" w:sz="4" w:space="0" w:color="auto"/>
            </w:tcBorders>
            <w:vAlign w:val="center"/>
          </w:tcPr>
          <w:p w:rsidR="0038608B" w:rsidRDefault="0038608B">
            <w:pPr>
              <w:widowControl/>
              <w:jc w:val="left"/>
              <w:rPr>
                <w:rFonts w:ascii="Times New Roman" w:eastAsia="宋体" w:hAnsi="Times New Roman" w:cs="宋体"/>
                <w:color w:val="000000"/>
                <w:kern w:val="0"/>
                <w:szCs w:val="18"/>
              </w:rPr>
            </w:pPr>
          </w:p>
        </w:tc>
        <w:tc>
          <w:tcPr>
            <w:tcW w:w="723"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资产管理（</w:t>
            </w:r>
            <w:r>
              <w:rPr>
                <w:rFonts w:ascii="Times New Roman" w:eastAsia="宋体" w:hAnsi="Times New Roman" w:cs="宋体" w:hint="eastAsia"/>
                <w:color w:val="000000"/>
                <w:kern w:val="0"/>
                <w:szCs w:val="18"/>
              </w:rPr>
              <w:t>4</w:t>
            </w:r>
            <w:r>
              <w:rPr>
                <w:rFonts w:ascii="Times New Roman" w:eastAsia="宋体" w:hAnsi="Times New Roman" w:cs="宋体" w:hint="eastAsia"/>
                <w:color w:val="000000"/>
                <w:kern w:val="0"/>
                <w:szCs w:val="18"/>
              </w:rPr>
              <w:t>）</w:t>
            </w:r>
          </w:p>
        </w:tc>
        <w:tc>
          <w:tcPr>
            <w:tcW w:w="1351"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资产管理规范性</w:t>
            </w:r>
          </w:p>
        </w:tc>
        <w:tc>
          <w:tcPr>
            <w:tcW w:w="764"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优</w:t>
            </w:r>
          </w:p>
        </w:tc>
        <w:tc>
          <w:tcPr>
            <w:tcW w:w="662"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优</w:t>
            </w:r>
          </w:p>
        </w:tc>
        <w:tc>
          <w:tcPr>
            <w:tcW w:w="395"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4</w:t>
            </w:r>
          </w:p>
        </w:tc>
        <w:tc>
          <w:tcPr>
            <w:tcW w:w="360"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4</w:t>
            </w:r>
          </w:p>
        </w:tc>
      </w:tr>
      <w:tr w:rsidR="0038608B">
        <w:trPr>
          <w:trHeight w:val="624"/>
          <w:jc w:val="center"/>
        </w:trPr>
        <w:tc>
          <w:tcPr>
            <w:tcW w:w="741" w:type="pct"/>
            <w:vMerge/>
            <w:tcBorders>
              <w:top w:val="single" w:sz="4" w:space="0" w:color="auto"/>
              <w:left w:val="single" w:sz="4" w:space="0" w:color="auto"/>
              <w:bottom w:val="single" w:sz="4" w:space="0" w:color="auto"/>
              <w:right w:val="single" w:sz="4" w:space="0" w:color="auto"/>
            </w:tcBorders>
            <w:vAlign w:val="center"/>
          </w:tcPr>
          <w:p w:rsidR="0038608B" w:rsidRDefault="0038608B">
            <w:pPr>
              <w:widowControl/>
              <w:jc w:val="left"/>
              <w:rPr>
                <w:rFonts w:ascii="Times New Roman" w:eastAsia="宋体" w:hAnsi="Times New Roman" w:cs="宋体"/>
                <w:color w:val="000000"/>
                <w:kern w:val="0"/>
                <w:szCs w:val="18"/>
              </w:rPr>
            </w:pPr>
          </w:p>
        </w:tc>
        <w:tc>
          <w:tcPr>
            <w:tcW w:w="723"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绩效管理（</w:t>
            </w:r>
            <w:r>
              <w:rPr>
                <w:rFonts w:ascii="Times New Roman" w:eastAsia="宋体" w:hAnsi="Times New Roman" w:cs="宋体" w:hint="eastAsia"/>
                <w:color w:val="000000"/>
                <w:kern w:val="0"/>
                <w:szCs w:val="18"/>
              </w:rPr>
              <w:t>4</w:t>
            </w:r>
            <w:r>
              <w:rPr>
                <w:rFonts w:ascii="Times New Roman" w:eastAsia="宋体" w:hAnsi="Times New Roman" w:cs="宋体" w:hint="eastAsia"/>
                <w:color w:val="000000"/>
                <w:kern w:val="0"/>
                <w:szCs w:val="18"/>
              </w:rPr>
              <w:t>）</w:t>
            </w:r>
          </w:p>
        </w:tc>
        <w:tc>
          <w:tcPr>
            <w:tcW w:w="1351"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绩效管理情况</w:t>
            </w:r>
          </w:p>
        </w:tc>
        <w:tc>
          <w:tcPr>
            <w:tcW w:w="764"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优</w:t>
            </w:r>
          </w:p>
        </w:tc>
        <w:tc>
          <w:tcPr>
            <w:tcW w:w="662"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优</w:t>
            </w:r>
          </w:p>
        </w:tc>
        <w:tc>
          <w:tcPr>
            <w:tcW w:w="395"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4</w:t>
            </w:r>
          </w:p>
        </w:tc>
        <w:tc>
          <w:tcPr>
            <w:tcW w:w="360"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4</w:t>
            </w:r>
          </w:p>
        </w:tc>
      </w:tr>
      <w:tr w:rsidR="0038608B">
        <w:trPr>
          <w:trHeight w:val="624"/>
          <w:jc w:val="center"/>
        </w:trPr>
        <w:tc>
          <w:tcPr>
            <w:tcW w:w="741" w:type="pct"/>
            <w:vMerge/>
            <w:tcBorders>
              <w:top w:val="single" w:sz="4" w:space="0" w:color="auto"/>
              <w:left w:val="single" w:sz="4" w:space="0" w:color="auto"/>
              <w:bottom w:val="single" w:sz="4" w:space="0" w:color="auto"/>
              <w:right w:val="single" w:sz="4" w:space="0" w:color="auto"/>
            </w:tcBorders>
            <w:vAlign w:val="center"/>
          </w:tcPr>
          <w:p w:rsidR="0038608B" w:rsidRDefault="0038608B">
            <w:pPr>
              <w:widowControl/>
              <w:jc w:val="left"/>
              <w:rPr>
                <w:rFonts w:ascii="Times New Roman" w:eastAsia="宋体" w:hAnsi="Times New Roman" w:cs="宋体"/>
                <w:color w:val="000000"/>
                <w:kern w:val="0"/>
                <w:szCs w:val="18"/>
              </w:rPr>
            </w:pPr>
          </w:p>
        </w:tc>
        <w:tc>
          <w:tcPr>
            <w:tcW w:w="723"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b/>
                <w:bCs/>
                <w:color w:val="000000"/>
                <w:kern w:val="0"/>
                <w:szCs w:val="18"/>
              </w:rPr>
            </w:pPr>
            <w:r>
              <w:rPr>
                <w:rFonts w:ascii="Times New Roman" w:eastAsia="宋体" w:hAnsi="Times New Roman" w:cs="宋体" w:hint="eastAsia"/>
                <w:b/>
                <w:bCs/>
                <w:color w:val="000000"/>
                <w:kern w:val="0"/>
                <w:szCs w:val="18"/>
              </w:rPr>
              <w:t>指标</w:t>
            </w:r>
          </w:p>
        </w:tc>
        <w:tc>
          <w:tcPr>
            <w:tcW w:w="2115" w:type="pct"/>
            <w:gridSpan w:val="2"/>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b/>
                <w:bCs/>
                <w:color w:val="000000"/>
                <w:kern w:val="0"/>
                <w:szCs w:val="18"/>
              </w:rPr>
            </w:pPr>
            <w:r>
              <w:rPr>
                <w:rFonts w:ascii="Times New Roman" w:eastAsia="宋体" w:hAnsi="Times New Roman" w:cs="宋体" w:hint="eastAsia"/>
                <w:b/>
                <w:bCs/>
                <w:color w:val="000000"/>
                <w:kern w:val="0"/>
                <w:szCs w:val="18"/>
              </w:rPr>
              <w:t>2023</w:t>
            </w:r>
            <w:r>
              <w:rPr>
                <w:rFonts w:ascii="Times New Roman" w:eastAsia="宋体" w:hAnsi="Times New Roman" w:cs="宋体" w:hint="eastAsia"/>
                <w:b/>
                <w:bCs/>
                <w:color w:val="000000"/>
                <w:kern w:val="0"/>
                <w:szCs w:val="18"/>
              </w:rPr>
              <w:t>年</w:t>
            </w:r>
          </w:p>
        </w:tc>
        <w:tc>
          <w:tcPr>
            <w:tcW w:w="662"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b/>
                <w:bCs/>
                <w:color w:val="000000"/>
                <w:kern w:val="0"/>
                <w:szCs w:val="18"/>
              </w:rPr>
            </w:pPr>
            <w:r>
              <w:rPr>
                <w:rFonts w:ascii="Times New Roman" w:eastAsia="宋体" w:hAnsi="Times New Roman" w:cs="宋体" w:hint="eastAsia"/>
                <w:b/>
                <w:bCs/>
                <w:color w:val="000000"/>
                <w:kern w:val="0"/>
                <w:szCs w:val="18"/>
              </w:rPr>
              <w:t>2024</w:t>
            </w:r>
            <w:r>
              <w:rPr>
                <w:rFonts w:ascii="Times New Roman" w:eastAsia="宋体" w:hAnsi="Times New Roman" w:cs="宋体" w:hint="eastAsia"/>
                <w:b/>
                <w:bCs/>
                <w:color w:val="000000"/>
                <w:kern w:val="0"/>
                <w:szCs w:val="18"/>
              </w:rPr>
              <w:t>年</w:t>
            </w:r>
          </w:p>
        </w:tc>
        <w:tc>
          <w:tcPr>
            <w:tcW w:w="395"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b/>
                <w:bCs/>
                <w:color w:val="000000"/>
                <w:kern w:val="0"/>
                <w:szCs w:val="18"/>
              </w:rPr>
            </w:pPr>
            <w:r>
              <w:rPr>
                <w:rFonts w:ascii="Times New Roman" w:eastAsia="宋体" w:hAnsi="Times New Roman" w:cs="宋体" w:hint="eastAsia"/>
                <w:b/>
                <w:bCs/>
                <w:color w:val="000000"/>
                <w:kern w:val="0"/>
                <w:szCs w:val="18"/>
              </w:rPr>
              <w:t>分值</w:t>
            </w:r>
          </w:p>
        </w:tc>
        <w:tc>
          <w:tcPr>
            <w:tcW w:w="360"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b/>
                <w:bCs/>
                <w:color w:val="000000"/>
                <w:kern w:val="0"/>
                <w:szCs w:val="18"/>
              </w:rPr>
            </w:pPr>
            <w:r>
              <w:rPr>
                <w:rFonts w:ascii="Times New Roman" w:eastAsia="宋体" w:hAnsi="Times New Roman" w:cs="宋体" w:hint="eastAsia"/>
                <w:b/>
                <w:bCs/>
                <w:color w:val="000000"/>
                <w:kern w:val="0"/>
                <w:szCs w:val="18"/>
              </w:rPr>
              <w:t>得分</w:t>
            </w:r>
          </w:p>
        </w:tc>
      </w:tr>
      <w:tr w:rsidR="0038608B">
        <w:trPr>
          <w:trHeight w:val="624"/>
          <w:jc w:val="center"/>
        </w:trPr>
        <w:tc>
          <w:tcPr>
            <w:tcW w:w="741" w:type="pct"/>
            <w:vMerge/>
            <w:tcBorders>
              <w:top w:val="single" w:sz="4" w:space="0" w:color="auto"/>
              <w:left w:val="single" w:sz="4" w:space="0" w:color="auto"/>
              <w:bottom w:val="single" w:sz="4" w:space="0" w:color="auto"/>
              <w:right w:val="single" w:sz="4" w:space="0" w:color="auto"/>
            </w:tcBorders>
            <w:vAlign w:val="center"/>
          </w:tcPr>
          <w:p w:rsidR="0038608B" w:rsidRDefault="0038608B">
            <w:pPr>
              <w:widowControl/>
              <w:jc w:val="left"/>
              <w:rPr>
                <w:rFonts w:ascii="Times New Roman" w:eastAsia="宋体" w:hAnsi="Times New Roman" w:cs="宋体"/>
                <w:color w:val="000000"/>
                <w:kern w:val="0"/>
                <w:szCs w:val="18"/>
              </w:rPr>
            </w:pPr>
          </w:p>
        </w:tc>
        <w:tc>
          <w:tcPr>
            <w:tcW w:w="723"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结转结余率</w:t>
            </w:r>
          </w:p>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w:t>
            </w:r>
            <w:r>
              <w:rPr>
                <w:rFonts w:ascii="Times New Roman" w:eastAsia="宋体" w:hAnsi="Times New Roman" w:cs="宋体" w:hint="eastAsia"/>
                <w:color w:val="000000"/>
                <w:kern w:val="0"/>
                <w:szCs w:val="18"/>
              </w:rPr>
              <w:t>4</w:t>
            </w:r>
            <w:r>
              <w:rPr>
                <w:rFonts w:ascii="Times New Roman" w:eastAsia="宋体" w:hAnsi="Times New Roman" w:cs="宋体" w:hint="eastAsia"/>
                <w:color w:val="000000"/>
                <w:kern w:val="0"/>
                <w:szCs w:val="18"/>
              </w:rPr>
              <w:t>）</w:t>
            </w:r>
          </w:p>
        </w:tc>
        <w:tc>
          <w:tcPr>
            <w:tcW w:w="2115" w:type="pct"/>
            <w:gridSpan w:val="2"/>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4.41%</w:t>
            </w:r>
          </w:p>
        </w:tc>
        <w:tc>
          <w:tcPr>
            <w:tcW w:w="662"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2.77%</w:t>
            </w:r>
          </w:p>
        </w:tc>
        <w:tc>
          <w:tcPr>
            <w:tcW w:w="395"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4</w:t>
            </w:r>
          </w:p>
        </w:tc>
        <w:tc>
          <w:tcPr>
            <w:tcW w:w="360"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4</w:t>
            </w:r>
          </w:p>
        </w:tc>
      </w:tr>
      <w:tr w:rsidR="0038608B">
        <w:trPr>
          <w:trHeight w:val="624"/>
          <w:jc w:val="center"/>
        </w:trPr>
        <w:tc>
          <w:tcPr>
            <w:tcW w:w="741" w:type="pct"/>
            <w:vMerge/>
            <w:tcBorders>
              <w:top w:val="single" w:sz="4" w:space="0" w:color="auto"/>
              <w:left w:val="single" w:sz="4" w:space="0" w:color="auto"/>
              <w:bottom w:val="single" w:sz="4" w:space="0" w:color="auto"/>
              <w:right w:val="single" w:sz="4" w:space="0" w:color="auto"/>
            </w:tcBorders>
            <w:vAlign w:val="center"/>
          </w:tcPr>
          <w:p w:rsidR="0038608B" w:rsidRDefault="0038608B">
            <w:pPr>
              <w:widowControl/>
              <w:jc w:val="left"/>
              <w:rPr>
                <w:rFonts w:ascii="Times New Roman" w:eastAsia="宋体" w:hAnsi="Times New Roman" w:cs="宋体"/>
                <w:color w:val="000000"/>
                <w:kern w:val="0"/>
                <w:szCs w:val="18"/>
              </w:rPr>
            </w:pPr>
          </w:p>
        </w:tc>
        <w:tc>
          <w:tcPr>
            <w:tcW w:w="723"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部门预决算差异率（</w:t>
            </w:r>
            <w:r>
              <w:rPr>
                <w:rFonts w:ascii="Times New Roman" w:eastAsia="宋体" w:hAnsi="Times New Roman" w:cs="宋体" w:hint="eastAsia"/>
                <w:color w:val="000000"/>
                <w:kern w:val="0"/>
                <w:szCs w:val="18"/>
              </w:rPr>
              <w:t>4</w:t>
            </w:r>
            <w:r>
              <w:rPr>
                <w:rFonts w:ascii="Times New Roman" w:eastAsia="宋体" w:hAnsi="Times New Roman" w:cs="宋体" w:hint="eastAsia"/>
                <w:color w:val="000000"/>
                <w:kern w:val="0"/>
                <w:szCs w:val="18"/>
              </w:rPr>
              <w:t>）</w:t>
            </w:r>
          </w:p>
        </w:tc>
        <w:tc>
          <w:tcPr>
            <w:tcW w:w="2115" w:type="pct"/>
            <w:gridSpan w:val="2"/>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w:t>
            </w:r>
          </w:p>
        </w:tc>
        <w:tc>
          <w:tcPr>
            <w:tcW w:w="662"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-1.60%</w:t>
            </w:r>
          </w:p>
        </w:tc>
        <w:tc>
          <w:tcPr>
            <w:tcW w:w="395"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4</w:t>
            </w:r>
          </w:p>
        </w:tc>
        <w:tc>
          <w:tcPr>
            <w:tcW w:w="360"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color w:val="000000"/>
                <w:kern w:val="0"/>
                <w:szCs w:val="18"/>
              </w:rPr>
            </w:pPr>
            <w:r>
              <w:rPr>
                <w:rFonts w:ascii="Times New Roman" w:eastAsia="宋体" w:hAnsi="Times New Roman" w:cs="宋体" w:hint="eastAsia"/>
                <w:color w:val="000000"/>
                <w:kern w:val="0"/>
                <w:szCs w:val="18"/>
              </w:rPr>
              <w:t>4</w:t>
            </w:r>
          </w:p>
        </w:tc>
      </w:tr>
      <w:tr w:rsidR="0038608B">
        <w:trPr>
          <w:trHeight w:val="624"/>
          <w:jc w:val="center"/>
        </w:trPr>
        <w:tc>
          <w:tcPr>
            <w:tcW w:w="4243" w:type="pct"/>
            <w:gridSpan w:val="5"/>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b/>
                <w:bCs/>
                <w:color w:val="000000"/>
                <w:kern w:val="0"/>
                <w:szCs w:val="18"/>
              </w:rPr>
            </w:pPr>
            <w:r>
              <w:rPr>
                <w:rFonts w:ascii="Times New Roman" w:eastAsia="宋体" w:hAnsi="Times New Roman" w:cs="宋体" w:hint="eastAsia"/>
                <w:b/>
                <w:bCs/>
                <w:color w:val="000000"/>
                <w:kern w:val="0"/>
                <w:szCs w:val="18"/>
              </w:rPr>
              <w:t>合计</w:t>
            </w:r>
          </w:p>
        </w:tc>
        <w:tc>
          <w:tcPr>
            <w:tcW w:w="395"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b/>
                <w:bCs/>
                <w:color w:val="000000"/>
                <w:kern w:val="0"/>
                <w:szCs w:val="18"/>
              </w:rPr>
            </w:pPr>
            <w:r>
              <w:rPr>
                <w:rFonts w:ascii="Times New Roman" w:eastAsia="宋体" w:hAnsi="Times New Roman" w:cs="宋体" w:hint="eastAsia"/>
                <w:b/>
                <w:bCs/>
                <w:color w:val="000000"/>
                <w:kern w:val="0"/>
                <w:szCs w:val="18"/>
              </w:rPr>
              <w:t>100</w:t>
            </w:r>
          </w:p>
        </w:tc>
        <w:tc>
          <w:tcPr>
            <w:tcW w:w="360" w:type="pct"/>
            <w:tcBorders>
              <w:top w:val="single" w:sz="4" w:space="0" w:color="auto"/>
              <w:left w:val="single" w:sz="4" w:space="0" w:color="auto"/>
              <w:bottom w:val="single" w:sz="4" w:space="0" w:color="auto"/>
              <w:right w:val="single" w:sz="4" w:space="0" w:color="auto"/>
            </w:tcBorders>
            <w:vAlign w:val="center"/>
          </w:tcPr>
          <w:p w:rsidR="0038608B" w:rsidRDefault="00FA51B8">
            <w:pPr>
              <w:widowControl/>
              <w:jc w:val="center"/>
              <w:rPr>
                <w:rFonts w:ascii="Times New Roman" w:eastAsia="宋体" w:hAnsi="Times New Roman" w:cs="宋体"/>
                <w:b/>
                <w:bCs/>
                <w:color w:val="000000"/>
                <w:kern w:val="0"/>
                <w:szCs w:val="18"/>
              </w:rPr>
            </w:pPr>
            <w:r>
              <w:rPr>
                <w:rFonts w:ascii="Times New Roman" w:eastAsia="宋体" w:hAnsi="Times New Roman" w:cs="宋体" w:hint="eastAsia"/>
                <w:b/>
                <w:bCs/>
                <w:color w:val="000000"/>
                <w:kern w:val="0"/>
                <w:szCs w:val="18"/>
              </w:rPr>
              <w:t>95.26</w:t>
            </w:r>
          </w:p>
        </w:tc>
      </w:tr>
    </w:tbl>
    <w:p w:rsidR="0038608B" w:rsidRDefault="0038608B">
      <w:pPr>
        <w:snapToGrid w:val="0"/>
        <w:spacing w:line="360" w:lineRule="auto"/>
        <w:jc w:val="center"/>
        <w:rPr>
          <w:rFonts w:ascii="宋体" w:eastAsia="宋体" w:hAnsi="宋体" w:cs="宋体"/>
          <w:b/>
          <w:sz w:val="32"/>
          <w:szCs w:val="32"/>
        </w:rPr>
      </w:pPr>
    </w:p>
    <w:sectPr w:rsidR="0038608B">
      <w:footerReference w:type="default" r:id="rId9"/>
      <w:pgSz w:w="11906" w:h="16838"/>
      <w:pgMar w:top="1417" w:right="1417" w:bottom="1417" w:left="1417" w:header="851" w:footer="992" w:gutter="0"/>
      <w:pgNumType w:start="18"/>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1E75" w:rsidRDefault="00D81E75">
      <w:r>
        <w:separator/>
      </w:r>
    </w:p>
  </w:endnote>
  <w:endnote w:type="continuationSeparator" w:id="0">
    <w:p w:rsidR="00D81E75" w:rsidRDefault="00D81E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altName w:val="微软雅黑"/>
    <w:charset w:val="86"/>
    <w:family w:val="auto"/>
    <w:pitch w:val="default"/>
    <w:sig w:usb0="A00002BF" w:usb1="184F6CFA" w:usb2="00000012" w:usb3="00000000" w:csb0="00040001"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4741107"/>
    </w:sdtPr>
    <w:sdtEndPr>
      <w:rPr>
        <w:rFonts w:ascii="仿宋_GB2312" w:eastAsia="仿宋_GB2312" w:hint="eastAsia"/>
        <w:sz w:val="28"/>
        <w:szCs w:val="28"/>
      </w:rPr>
    </w:sdtEndPr>
    <w:sdtContent>
      <w:p w:rsidR="0038608B" w:rsidRDefault="00FA51B8">
        <w:pPr>
          <w:pStyle w:val="aa"/>
          <w:jc w:val="center"/>
          <w:rPr>
            <w:rFonts w:ascii="仿宋_GB2312" w:eastAsia="仿宋_GB2312"/>
            <w:sz w:val="28"/>
            <w:szCs w:val="28"/>
          </w:rPr>
        </w:pPr>
        <w:r>
          <w:rPr>
            <w:rFonts w:ascii="宋体" w:eastAsia="宋体" w:hAnsi="宋体" w:cs="宋体" w:hint="eastAsia"/>
            <w:sz w:val="24"/>
            <w:szCs w:val="24"/>
          </w:rPr>
          <w:fldChar w:fldCharType="begin"/>
        </w:r>
        <w:r>
          <w:rPr>
            <w:rFonts w:ascii="宋体" w:eastAsia="宋体" w:hAnsi="宋体" w:cs="宋体" w:hint="eastAsia"/>
            <w:sz w:val="24"/>
            <w:szCs w:val="24"/>
          </w:rPr>
          <w:instrText>PAGE   \* MERGEFORMAT</w:instrText>
        </w:r>
        <w:r>
          <w:rPr>
            <w:rFonts w:ascii="宋体" w:eastAsia="宋体" w:hAnsi="宋体" w:cs="宋体" w:hint="eastAsia"/>
            <w:sz w:val="24"/>
            <w:szCs w:val="24"/>
          </w:rPr>
          <w:fldChar w:fldCharType="separate"/>
        </w:r>
        <w:r>
          <w:rPr>
            <w:rFonts w:ascii="宋体" w:eastAsia="宋体" w:hAnsi="宋体" w:cs="宋体"/>
            <w:sz w:val="24"/>
            <w:szCs w:val="24"/>
            <w:lang w:val="zh-CN"/>
          </w:rPr>
          <w:t>16</w:t>
        </w:r>
        <w:r>
          <w:rPr>
            <w:rFonts w:ascii="宋体" w:eastAsia="宋体" w:hAnsi="宋体" w:cs="宋体" w:hint="eastAsia"/>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608B" w:rsidRDefault="00FA51B8">
    <w:pPr>
      <w:pStyle w:val="aa"/>
      <w:rPr>
        <w:rFonts w:ascii="仿宋_GB2312" w:eastAsia="仿宋_GB2312"/>
        <w:sz w:val="28"/>
        <w:szCs w:val="28"/>
      </w:rPr>
    </w:pPr>
    <w:r>
      <w:rPr>
        <w:noProof/>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8608B" w:rsidRDefault="00FA51B8">
                          <w:pPr>
                            <w:pStyle w:val="aa"/>
                          </w:pPr>
                          <w:r>
                            <w:rPr>
                              <w:rFonts w:ascii="宋体" w:eastAsia="宋体" w:hAnsi="宋体" w:cs="宋体" w:hint="eastAsia"/>
                              <w:sz w:val="24"/>
                              <w:szCs w:val="24"/>
                            </w:rPr>
                            <w:fldChar w:fldCharType="begin"/>
                          </w:r>
                          <w:r>
                            <w:rPr>
                              <w:rFonts w:ascii="宋体" w:eastAsia="宋体" w:hAnsi="宋体" w:cs="宋体" w:hint="eastAsia"/>
                              <w:sz w:val="24"/>
                              <w:szCs w:val="24"/>
                            </w:rPr>
                            <w:instrText xml:space="preserve"> PAGE  \* MERGEFORMAT </w:instrText>
                          </w:r>
                          <w:r>
                            <w:rPr>
                              <w:rFonts w:ascii="宋体" w:eastAsia="宋体" w:hAnsi="宋体" w:cs="宋体" w:hint="eastAsia"/>
                              <w:sz w:val="24"/>
                              <w:szCs w:val="24"/>
                            </w:rPr>
                            <w:fldChar w:fldCharType="separate"/>
                          </w:r>
                          <w:r>
                            <w:rPr>
                              <w:rFonts w:ascii="宋体" w:eastAsia="宋体" w:hAnsi="宋体" w:cs="宋体"/>
                              <w:sz w:val="24"/>
                              <w:szCs w:val="24"/>
                            </w:rPr>
                            <w:t>19</w:t>
                          </w:r>
                          <w:r>
                            <w:rPr>
                              <w:rFonts w:ascii="宋体" w:eastAsia="宋体" w:hAnsi="宋体" w:cs="宋体" w:hint="eastAsia"/>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p w:rsidR="0038608B" w:rsidRDefault="00FA51B8">
                    <w:pPr>
                      <w:pStyle w:val="aa"/>
                    </w:pPr>
                    <w:r>
                      <w:rPr>
                        <w:rFonts w:ascii="宋体" w:eastAsia="宋体" w:hAnsi="宋体" w:cs="宋体" w:hint="eastAsia"/>
                        <w:sz w:val="24"/>
                        <w:szCs w:val="24"/>
                      </w:rPr>
                      <w:fldChar w:fldCharType="begin"/>
                    </w:r>
                    <w:r>
                      <w:rPr>
                        <w:rFonts w:ascii="宋体" w:eastAsia="宋体" w:hAnsi="宋体" w:cs="宋体" w:hint="eastAsia"/>
                        <w:sz w:val="24"/>
                        <w:szCs w:val="24"/>
                      </w:rPr>
                      <w:instrText xml:space="preserve"> PAGE  \* MERGEFORMAT </w:instrText>
                    </w:r>
                    <w:r>
                      <w:rPr>
                        <w:rFonts w:ascii="宋体" w:eastAsia="宋体" w:hAnsi="宋体" w:cs="宋体" w:hint="eastAsia"/>
                        <w:sz w:val="24"/>
                        <w:szCs w:val="24"/>
                      </w:rPr>
                      <w:fldChar w:fldCharType="separate"/>
                    </w:r>
                    <w:r>
                      <w:rPr>
                        <w:rFonts w:ascii="宋体" w:eastAsia="宋体" w:hAnsi="宋体" w:cs="宋体"/>
                        <w:sz w:val="24"/>
                        <w:szCs w:val="24"/>
                      </w:rPr>
                      <w:t>19</w:t>
                    </w:r>
                    <w:r>
                      <w:rPr>
                        <w:rFonts w:ascii="宋体" w:eastAsia="宋体" w:hAnsi="宋体" w:cs="宋体" w:hint="eastAsia"/>
                        <w:sz w:val="24"/>
                        <w:szCs w:val="24"/>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1E75" w:rsidRDefault="00D81E75">
      <w:r>
        <w:separator/>
      </w:r>
    </w:p>
  </w:footnote>
  <w:footnote w:type="continuationSeparator" w:id="0">
    <w:p w:rsidR="00D81E75" w:rsidRDefault="00D81E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YjYxZmM3N2Q5NjkxMTQxNTUyN2EzODZhZjJiYmNkOWUifQ=="/>
  </w:docVars>
  <w:rsids>
    <w:rsidRoot w:val="00C01422"/>
    <w:rsid w:val="000073E5"/>
    <w:rsid w:val="000076AE"/>
    <w:rsid w:val="000131C8"/>
    <w:rsid w:val="00016D05"/>
    <w:rsid w:val="00026BB0"/>
    <w:rsid w:val="00047FAB"/>
    <w:rsid w:val="00051652"/>
    <w:rsid w:val="00053CA7"/>
    <w:rsid w:val="00056F3B"/>
    <w:rsid w:val="000612A8"/>
    <w:rsid w:val="0006546F"/>
    <w:rsid w:val="00066C20"/>
    <w:rsid w:val="00067893"/>
    <w:rsid w:val="00067CFB"/>
    <w:rsid w:val="00072A89"/>
    <w:rsid w:val="000828BF"/>
    <w:rsid w:val="00085826"/>
    <w:rsid w:val="00087236"/>
    <w:rsid w:val="00091D2D"/>
    <w:rsid w:val="00092FAF"/>
    <w:rsid w:val="000950F6"/>
    <w:rsid w:val="000966EE"/>
    <w:rsid w:val="000A4813"/>
    <w:rsid w:val="000A6C96"/>
    <w:rsid w:val="000B5151"/>
    <w:rsid w:val="000B5B3B"/>
    <w:rsid w:val="000B7D94"/>
    <w:rsid w:val="000C539D"/>
    <w:rsid w:val="000D2953"/>
    <w:rsid w:val="000D4025"/>
    <w:rsid w:val="000E28EB"/>
    <w:rsid w:val="000F0326"/>
    <w:rsid w:val="000F14D5"/>
    <w:rsid w:val="000F16BB"/>
    <w:rsid w:val="000F2395"/>
    <w:rsid w:val="000F318E"/>
    <w:rsid w:val="000F7E1A"/>
    <w:rsid w:val="00111FF5"/>
    <w:rsid w:val="00112FA2"/>
    <w:rsid w:val="0011777E"/>
    <w:rsid w:val="00117D09"/>
    <w:rsid w:val="00122134"/>
    <w:rsid w:val="00122DC7"/>
    <w:rsid w:val="00125288"/>
    <w:rsid w:val="001267B6"/>
    <w:rsid w:val="00134B7D"/>
    <w:rsid w:val="00134FB0"/>
    <w:rsid w:val="001428B7"/>
    <w:rsid w:val="00143854"/>
    <w:rsid w:val="00150ED2"/>
    <w:rsid w:val="001520B3"/>
    <w:rsid w:val="0015295F"/>
    <w:rsid w:val="0015754B"/>
    <w:rsid w:val="00157BA3"/>
    <w:rsid w:val="00164243"/>
    <w:rsid w:val="0017417F"/>
    <w:rsid w:val="00174B99"/>
    <w:rsid w:val="00174E2E"/>
    <w:rsid w:val="00176824"/>
    <w:rsid w:val="00180B42"/>
    <w:rsid w:val="00183CF2"/>
    <w:rsid w:val="001A016E"/>
    <w:rsid w:val="001A0176"/>
    <w:rsid w:val="001A152B"/>
    <w:rsid w:val="001B1C17"/>
    <w:rsid w:val="001B34ED"/>
    <w:rsid w:val="001B3892"/>
    <w:rsid w:val="001B73E3"/>
    <w:rsid w:val="001B77E5"/>
    <w:rsid w:val="001C374B"/>
    <w:rsid w:val="001C38BD"/>
    <w:rsid w:val="001C7AE2"/>
    <w:rsid w:val="001D128E"/>
    <w:rsid w:val="001F1635"/>
    <w:rsid w:val="001F6D10"/>
    <w:rsid w:val="002017AD"/>
    <w:rsid w:val="00203054"/>
    <w:rsid w:val="002051F0"/>
    <w:rsid w:val="00206A95"/>
    <w:rsid w:val="00211A27"/>
    <w:rsid w:val="00211F3F"/>
    <w:rsid w:val="002272CF"/>
    <w:rsid w:val="00242331"/>
    <w:rsid w:val="0024346F"/>
    <w:rsid w:val="00250C47"/>
    <w:rsid w:val="002518E2"/>
    <w:rsid w:val="00252794"/>
    <w:rsid w:val="0025280C"/>
    <w:rsid w:val="0025329A"/>
    <w:rsid w:val="0025584F"/>
    <w:rsid w:val="0025756B"/>
    <w:rsid w:val="00257BF9"/>
    <w:rsid w:val="00260AEC"/>
    <w:rsid w:val="002755F2"/>
    <w:rsid w:val="0028052C"/>
    <w:rsid w:val="00282CCA"/>
    <w:rsid w:val="00285899"/>
    <w:rsid w:val="0029678A"/>
    <w:rsid w:val="002A5AC6"/>
    <w:rsid w:val="002A7F24"/>
    <w:rsid w:val="002B055C"/>
    <w:rsid w:val="002B5B1A"/>
    <w:rsid w:val="002C6A74"/>
    <w:rsid w:val="002C759D"/>
    <w:rsid w:val="002D1C18"/>
    <w:rsid w:val="002D2537"/>
    <w:rsid w:val="002D6A86"/>
    <w:rsid w:val="002D6B4B"/>
    <w:rsid w:val="002D713C"/>
    <w:rsid w:val="002E030E"/>
    <w:rsid w:val="002E2384"/>
    <w:rsid w:val="002E2EB6"/>
    <w:rsid w:val="002E3253"/>
    <w:rsid w:val="002E4376"/>
    <w:rsid w:val="002E51AA"/>
    <w:rsid w:val="002F040F"/>
    <w:rsid w:val="002F188F"/>
    <w:rsid w:val="002F46A1"/>
    <w:rsid w:val="003010A6"/>
    <w:rsid w:val="00302AA6"/>
    <w:rsid w:val="0030609A"/>
    <w:rsid w:val="00310343"/>
    <w:rsid w:val="003152E6"/>
    <w:rsid w:val="00317967"/>
    <w:rsid w:val="0032017E"/>
    <w:rsid w:val="00324A6C"/>
    <w:rsid w:val="00325B87"/>
    <w:rsid w:val="003269A6"/>
    <w:rsid w:val="003271CE"/>
    <w:rsid w:val="00332306"/>
    <w:rsid w:val="003346A2"/>
    <w:rsid w:val="00347474"/>
    <w:rsid w:val="00355AFE"/>
    <w:rsid w:val="0035728E"/>
    <w:rsid w:val="00360024"/>
    <w:rsid w:val="003653FC"/>
    <w:rsid w:val="003659AD"/>
    <w:rsid w:val="003839E5"/>
    <w:rsid w:val="00383F24"/>
    <w:rsid w:val="00384193"/>
    <w:rsid w:val="003849AE"/>
    <w:rsid w:val="00385CF4"/>
    <w:rsid w:val="0038608B"/>
    <w:rsid w:val="003A014E"/>
    <w:rsid w:val="003A05AA"/>
    <w:rsid w:val="003A7C08"/>
    <w:rsid w:val="003C038C"/>
    <w:rsid w:val="003C4B95"/>
    <w:rsid w:val="003C7313"/>
    <w:rsid w:val="003C79C6"/>
    <w:rsid w:val="003D099A"/>
    <w:rsid w:val="003D1004"/>
    <w:rsid w:val="003D1A4B"/>
    <w:rsid w:val="003E1411"/>
    <w:rsid w:val="003E1509"/>
    <w:rsid w:val="003E306F"/>
    <w:rsid w:val="00401CE1"/>
    <w:rsid w:val="004032CB"/>
    <w:rsid w:val="00403E7A"/>
    <w:rsid w:val="004138C4"/>
    <w:rsid w:val="0042306B"/>
    <w:rsid w:val="00424D08"/>
    <w:rsid w:val="004305C3"/>
    <w:rsid w:val="00434F17"/>
    <w:rsid w:val="00441568"/>
    <w:rsid w:val="00442138"/>
    <w:rsid w:val="00445C70"/>
    <w:rsid w:val="00446AFF"/>
    <w:rsid w:val="00447979"/>
    <w:rsid w:val="00447FC2"/>
    <w:rsid w:val="004510F8"/>
    <w:rsid w:val="00451132"/>
    <w:rsid w:val="0045179D"/>
    <w:rsid w:val="004665D7"/>
    <w:rsid w:val="00467830"/>
    <w:rsid w:val="004722CB"/>
    <w:rsid w:val="00474320"/>
    <w:rsid w:val="004749B4"/>
    <w:rsid w:val="00476647"/>
    <w:rsid w:val="0049281A"/>
    <w:rsid w:val="00495E52"/>
    <w:rsid w:val="00497877"/>
    <w:rsid w:val="004A11F8"/>
    <w:rsid w:val="004A6036"/>
    <w:rsid w:val="004B1BA7"/>
    <w:rsid w:val="004B356F"/>
    <w:rsid w:val="004B55D9"/>
    <w:rsid w:val="004C4254"/>
    <w:rsid w:val="004C4E2C"/>
    <w:rsid w:val="004D5A62"/>
    <w:rsid w:val="004D61C9"/>
    <w:rsid w:val="004E25CD"/>
    <w:rsid w:val="004F2CDA"/>
    <w:rsid w:val="00503E09"/>
    <w:rsid w:val="0050733F"/>
    <w:rsid w:val="0051202E"/>
    <w:rsid w:val="00512D94"/>
    <w:rsid w:val="00514D4E"/>
    <w:rsid w:val="0052360B"/>
    <w:rsid w:val="00533E73"/>
    <w:rsid w:val="00541BBC"/>
    <w:rsid w:val="005438EA"/>
    <w:rsid w:val="0054576D"/>
    <w:rsid w:val="00546B52"/>
    <w:rsid w:val="00546C2D"/>
    <w:rsid w:val="0055227F"/>
    <w:rsid w:val="00552D76"/>
    <w:rsid w:val="00553AAC"/>
    <w:rsid w:val="00557253"/>
    <w:rsid w:val="0056751C"/>
    <w:rsid w:val="00567BE6"/>
    <w:rsid w:val="005706B5"/>
    <w:rsid w:val="005711C1"/>
    <w:rsid w:val="00572A8C"/>
    <w:rsid w:val="0057341D"/>
    <w:rsid w:val="00573D83"/>
    <w:rsid w:val="00577B35"/>
    <w:rsid w:val="005977B8"/>
    <w:rsid w:val="005A2E20"/>
    <w:rsid w:val="005A2F31"/>
    <w:rsid w:val="005A5330"/>
    <w:rsid w:val="005A5887"/>
    <w:rsid w:val="005A5ECA"/>
    <w:rsid w:val="005B2741"/>
    <w:rsid w:val="005C2638"/>
    <w:rsid w:val="005D0EDC"/>
    <w:rsid w:val="005D6950"/>
    <w:rsid w:val="005D6A47"/>
    <w:rsid w:val="005D6DD2"/>
    <w:rsid w:val="005D7EF2"/>
    <w:rsid w:val="005E103D"/>
    <w:rsid w:val="005E1CBE"/>
    <w:rsid w:val="005E3617"/>
    <w:rsid w:val="005E4DE4"/>
    <w:rsid w:val="005E546E"/>
    <w:rsid w:val="005F39BA"/>
    <w:rsid w:val="005F4AAE"/>
    <w:rsid w:val="005F73F2"/>
    <w:rsid w:val="00602EA9"/>
    <w:rsid w:val="00602FA7"/>
    <w:rsid w:val="00606867"/>
    <w:rsid w:val="00616025"/>
    <w:rsid w:val="0062474E"/>
    <w:rsid w:val="006303E6"/>
    <w:rsid w:val="00643360"/>
    <w:rsid w:val="00645B4C"/>
    <w:rsid w:val="006467A9"/>
    <w:rsid w:val="00662E38"/>
    <w:rsid w:val="00667DDE"/>
    <w:rsid w:val="00672036"/>
    <w:rsid w:val="00674081"/>
    <w:rsid w:val="00682413"/>
    <w:rsid w:val="00682E75"/>
    <w:rsid w:val="00687A35"/>
    <w:rsid w:val="00693CA0"/>
    <w:rsid w:val="006A27F1"/>
    <w:rsid w:val="006A2EFD"/>
    <w:rsid w:val="006A30A8"/>
    <w:rsid w:val="006A3587"/>
    <w:rsid w:val="006B1F72"/>
    <w:rsid w:val="006B3911"/>
    <w:rsid w:val="006B6D9B"/>
    <w:rsid w:val="006C2F67"/>
    <w:rsid w:val="006C334B"/>
    <w:rsid w:val="006C45A7"/>
    <w:rsid w:val="006C73BF"/>
    <w:rsid w:val="006D63DE"/>
    <w:rsid w:val="006D6AFB"/>
    <w:rsid w:val="006E6D0A"/>
    <w:rsid w:val="006F0955"/>
    <w:rsid w:val="006F295C"/>
    <w:rsid w:val="007041B6"/>
    <w:rsid w:val="00704819"/>
    <w:rsid w:val="00711B0F"/>
    <w:rsid w:val="00726720"/>
    <w:rsid w:val="007321B3"/>
    <w:rsid w:val="00732AFC"/>
    <w:rsid w:val="0073377B"/>
    <w:rsid w:val="00737DFC"/>
    <w:rsid w:val="007404EB"/>
    <w:rsid w:val="00741A10"/>
    <w:rsid w:val="00746905"/>
    <w:rsid w:val="00752E6A"/>
    <w:rsid w:val="00755485"/>
    <w:rsid w:val="0075777D"/>
    <w:rsid w:val="00764F09"/>
    <w:rsid w:val="007700C4"/>
    <w:rsid w:val="00770CA2"/>
    <w:rsid w:val="00772DFB"/>
    <w:rsid w:val="00780EE4"/>
    <w:rsid w:val="00781006"/>
    <w:rsid w:val="00782E48"/>
    <w:rsid w:val="007A05D2"/>
    <w:rsid w:val="007A4008"/>
    <w:rsid w:val="007A4E8B"/>
    <w:rsid w:val="007A4F30"/>
    <w:rsid w:val="007A641C"/>
    <w:rsid w:val="007A79DD"/>
    <w:rsid w:val="007A7D3B"/>
    <w:rsid w:val="007B0973"/>
    <w:rsid w:val="007C26BA"/>
    <w:rsid w:val="007C7665"/>
    <w:rsid w:val="007D0696"/>
    <w:rsid w:val="007D6DD0"/>
    <w:rsid w:val="007E43A3"/>
    <w:rsid w:val="008018BC"/>
    <w:rsid w:val="00802382"/>
    <w:rsid w:val="00810554"/>
    <w:rsid w:val="00815416"/>
    <w:rsid w:val="00822B30"/>
    <w:rsid w:val="00832450"/>
    <w:rsid w:val="00832B5E"/>
    <w:rsid w:val="00833B04"/>
    <w:rsid w:val="008358BB"/>
    <w:rsid w:val="008418EC"/>
    <w:rsid w:val="00844E4E"/>
    <w:rsid w:val="0085022E"/>
    <w:rsid w:val="008502AE"/>
    <w:rsid w:val="008554D6"/>
    <w:rsid w:val="0086201A"/>
    <w:rsid w:val="00865502"/>
    <w:rsid w:val="008670C6"/>
    <w:rsid w:val="00871696"/>
    <w:rsid w:val="00885125"/>
    <w:rsid w:val="008A2B55"/>
    <w:rsid w:val="008A3C75"/>
    <w:rsid w:val="008A4D5F"/>
    <w:rsid w:val="008A6073"/>
    <w:rsid w:val="008A744A"/>
    <w:rsid w:val="008B31B4"/>
    <w:rsid w:val="008B411D"/>
    <w:rsid w:val="008B4ED6"/>
    <w:rsid w:val="008B676D"/>
    <w:rsid w:val="008B7BDE"/>
    <w:rsid w:val="008E0019"/>
    <w:rsid w:val="008E03B5"/>
    <w:rsid w:val="008E4F05"/>
    <w:rsid w:val="008F03CF"/>
    <w:rsid w:val="008F21C9"/>
    <w:rsid w:val="008F221A"/>
    <w:rsid w:val="008F5DAB"/>
    <w:rsid w:val="0090425E"/>
    <w:rsid w:val="009046F6"/>
    <w:rsid w:val="00907CFD"/>
    <w:rsid w:val="00907EB8"/>
    <w:rsid w:val="009103A2"/>
    <w:rsid w:val="00910C99"/>
    <w:rsid w:val="00920E38"/>
    <w:rsid w:val="009261C8"/>
    <w:rsid w:val="00930DF1"/>
    <w:rsid w:val="009373BB"/>
    <w:rsid w:val="00942EB2"/>
    <w:rsid w:val="00944B04"/>
    <w:rsid w:val="00944C54"/>
    <w:rsid w:val="0094535A"/>
    <w:rsid w:val="009510A8"/>
    <w:rsid w:val="00954498"/>
    <w:rsid w:val="00967080"/>
    <w:rsid w:val="009724EF"/>
    <w:rsid w:val="009741CA"/>
    <w:rsid w:val="00974A27"/>
    <w:rsid w:val="009820EB"/>
    <w:rsid w:val="0098567C"/>
    <w:rsid w:val="0099028A"/>
    <w:rsid w:val="009A003E"/>
    <w:rsid w:val="009A10DD"/>
    <w:rsid w:val="009A4A78"/>
    <w:rsid w:val="009A4B57"/>
    <w:rsid w:val="009A5502"/>
    <w:rsid w:val="009B40BC"/>
    <w:rsid w:val="009B44D2"/>
    <w:rsid w:val="009D04D3"/>
    <w:rsid w:val="009D5754"/>
    <w:rsid w:val="009E0169"/>
    <w:rsid w:val="009E1920"/>
    <w:rsid w:val="009E2849"/>
    <w:rsid w:val="009E3B4F"/>
    <w:rsid w:val="009E5CCE"/>
    <w:rsid w:val="009E6DB9"/>
    <w:rsid w:val="009E78EA"/>
    <w:rsid w:val="009F03F3"/>
    <w:rsid w:val="009F21E5"/>
    <w:rsid w:val="009F42EE"/>
    <w:rsid w:val="009F7343"/>
    <w:rsid w:val="00A04C12"/>
    <w:rsid w:val="00A06CDB"/>
    <w:rsid w:val="00A24C6B"/>
    <w:rsid w:val="00A26DCC"/>
    <w:rsid w:val="00A26EE3"/>
    <w:rsid w:val="00A3049C"/>
    <w:rsid w:val="00A308E8"/>
    <w:rsid w:val="00A31FE2"/>
    <w:rsid w:val="00A35739"/>
    <w:rsid w:val="00A37F76"/>
    <w:rsid w:val="00A41924"/>
    <w:rsid w:val="00A41994"/>
    <w:rsid w:val="00A61535"/>
    <w:rsid w:val="00A63A04"/>
    <w:rsid w:val="00A66178"/>
    <w:rsid w:val="00A70982"/>
    <w:rsid w:val="00A70A86"/>
    <w:rsid w:val="00A71ADB"/>
    <w:rsid w:val="00A8074E"/>
    <w:rsid w:val="00A92F5D"/>
    <w:rsid w:val="00A95BA5"/>
    <w:rsid w:val="00A9616C"/>
    <w:rsid w:val="00A97DFB"/>
    <w:rsid w:val="00AA0086"/>
    <w:rsid w:val="00AA2D6E"/>
    <w:rsid w:val="00AB040E"/>
    <w:rsid w:val="00AB6EA2"/>
    <w:rsid w:val="00AC3013"/>
    <w:rsid w:val="00AC3E72"/>
    <w:rsid w:val="00AC43F8"/>
    <w:rsid w:val="00AD60F0"/>
    <w:rsid w:val="00AD623A"/>
    <w:rsid w:val="00AE3A00"/>
    <w:rsid w:val="00AF715F"/>
    <w:rsid w:val="00AF71F2"/>
    <w:rsid w:val="00B0062E"/>
    <w:rsid w:val="00B03D0D"/>
    <w:rsid w:val="00B17E9C"/>
    <w:rsid w:val="00B24C3A"/>
    <w:rsid w:val="00B26372"/>
    <w:rsid w:val="00B27704"/>
    <w:rsid w:val="00B31D24"/>
    <w:rsid w:val="00B42038"/>
    <w:rsid w:val="00B4787D"/>
    <w:rsid w:val="00B50282"/>
    <w:rsid w:val="00B5323A"/>
    <w:rsid w:val="00B53F8D"/>
    <w:rsid w:val="00B66FF3"/>
    <w:rsid w:val="00B71027"/>
    <w:rsid w:val="00B7422E"/>
    <w:rsid w:val="00B816BA"/>
    <w:rsid w:val="00B81978"/>
    <w:rsid w:val="00B912E6"/>
    <w:rsid w:val="00B9209B"/>
    <w:rsid w:val="00B92440"/>
    <w:rsid w:val="00B92F3B"/>
    <w:rsid w:val="00BA57EE"/>
    <w:rsid w:val="00BB171B"/>
    <w:rsid w:val="00BB1AA8"/>
    <w:rsid w:val="00BB26F8"/>
    <w:rsid w:val="00BB39B2"/>
    <w:rsid w:val="00BB3A51"/>
    <w:rsid w:val="00BB59E1"/>
    <w:rsid w:val="00BB709F"/>
    <w:rsid w:val="00BC06DE"/>
    <w:rsid w:val="00BC428C"/>
    <w:rsid w:val="00BC6DE2"/>
    <w:rsid w:val="00BD6F82"/>
    <w:rsid w:val="00BE35E2"/>
    <w:rsid w:val="00BE45C0"/>
    <w:rsid w:val="00BE46B2"/>
    <w:rsid w:val="00BE6D12"/>
    <w:rsid w:val="00BF2A15"/>
    <w:rsid w:val="00BF4817"/>
    <w:rsid w:val="00BF49ED"/>
    <w:rsid w:val="00C01422"/>
    <w:rsid w:val="00C04024"/>
    <w:rsid w:val="00C07AA1"/>
    <w:rsid w:val="00C1235E"/>
    <w:rsid w:val="00C13172"/>
    <w:rsid w:val="00C13E0A"/>
    <w:rsid w:val="00C141BD"/>
    <w:rsid w:val="00C27DD7"/>
    <w:rsid w:val="00C31F1C"/>
    <w:rsid w:val="00C359F1"/>
    <w:rsid w:val="00C36C20"/>
    <w:rsid w:val="00C43B80"/>
    <w:rsid w:val="00C477F2"/>
    <w:rsid w:val="00C51821"/>
    <w:rsid w:val="00C552B8"/>
    <w:rsid w:val="00C628C0"/>
    <w:rsid w:val="00C644DB"/>
    <w:rsid w:val="00C65FA4"/>
    <w:rsid w:val="00C734F3"/>
    <w:rsid w:val="00C73DC2"/>
    <w:rsid w:val="00C817A8"/>
    <w:rsid w:val="00C85ED1"/>
    <w:rsid w:val="00C90E1E"/>
    <w:rsid w:val="00C94DB7"/>
    <w:rsid w:val="00CA0DCA"/>
    <w:rsid w:val="00CA248D"/>
    <w:rsid w:val="00CA2E04"/>
    <w:rsid w:val="00CB093D"/>
    <w:rsid w:val="00CB3290"/>
    <w:rsid w:val="00CC1DD8"/>
    <w:rsid w:val="00CC728D"/>
    <w:rsid w:val="00CD0682"/>
    <w:rsid w:val="00CD5B80"/>
    <w:rsid w:val="00CE28FF"/>
    <w:rsid w:val="00CE4C03"/>
    <w:rsid w:val="00CE5997"/>
    <w:rsid w:val="00CF0307"/>
    <w:rsid w:val="00CF2F75"/>
    <w:rsid w:val="00D00A0A"/>
    <w:rsid w:val="00D065CE"/>
    <w:rsid w:val="00D279D7"/>
    <w:rsid w:val="00D30018"/>
    <w:rsid w:val="00D30B3B"/>
    <w:rsid w:val="00D362D1"/>
    <w:rsid w:val="00D41B23"/>
    <w:rsid w:val="00D511D9"/>
    <w:rsid w:val="00D572C7"/>
    <w:rsid w:val="00D6119F"/>
    <w:rsid w:val="00D6439A"/>
    <w:rsid w:val="00D67CD7"/>
    <w:rsid w:val="00D81E75"/>
    <w:rsid w:val="00D855A8"/>
    <w:rsid w:val="00D86D1B"/>
    <w:rsid w:val="00DA1CF6"/>
    <w:rsid w:val="00DB0890"/>
    <w:rsid w:val="00DB31A3"/>
    <w:rsid w:val="00DC1549"/>
    <w:rsid w:val="00DC6CB8"/>
    <w:rsid w:val="00DD751E"/>
    <w:rsid w:val="00DE499B"/>
    <w:rsid w:val="00DF1723"/>
    <w:rsid w:val="00DF3C2E"/>
    <w:rsid w:val="00E00159"/>
    <w:rsid w:val="00E15EC8"/>
    <w:rsid w:val="00E26835"/>
    <w:rsid w:val="00E30E9C"/>
    <w:rsid w:val="00E33582"/>
    <w:rsid w:val="00E43575"/>
    <w:rsid w:val="00E43E76"/>
    <w:rsid w:val="00E54168"/>
    <w:rsid w:val="00E614EC"/>
    <w:rsid w:val="00E839C2"/>
    <w:rsid w:val="00E87DC6"/>
    <w:rsid w:val="00E87FC4"/>
    <w:rsid w:val="00E94E93"/>
    <w:rsid w:val="00EA1E48"/>
    <w:rsid w:val="00EA210B"/>
    <w:rsid w:val="00EA5E13"/>
    <w:rsid w:val="00EB345F"/>
    <w:rsid w:val="00EC3910"/>
    <w:rsid w:val="00EC7DBE"/>
    <w:rsid w:val="00ED34CC"/>
    <w:rsid w:val="00ED5FD2"/>
    <w:rsid w:val="00EE1AE0"/>
    <w:rsid w:val="00EE22EB"/>
    <w:rsid w:val="00EE23A8"/>
    <w:rsid w:val="00EE4E67"/>
    <w:rsid w:val="00EE5141"/>
    <w:rsid w:val="00EE5324"/>
    <w:rsid w:val="00EF0442"/>
    <w:rsid w:val="00EF188A"/>
    <w:rsid w:val="00EF2853"/>
    <w:rsid w:val="00EF2F83"/>
    <w:rsid w:val="00EF3211"/>
    <w:rsid w:val="00EF6929"/>
    <w:rsid w:val="00EF6B26"/>
    <w:rsid w:val="00F16181"/>
    <w:rsid w:val="00F16DF5"/>
    <w:rsid w:val="00F2012C"/>
    <w:rsid w:val="00F32412"/>
    <w:rsid w:val="00F332FA"/>
    <w:rsid w:val="00F412F8"/>
    <w:rsid w:val="00F430DF"/>
    <w:rsid w:val="00F45B90"/>
    <w:rsid w:val="00F46762"/>
    <w:rsid w:val="00F46879"/>
    <w:rsid w:val="00F50237"/>
    <w:rsid w:val="00F52777"/>
    <w:rsid w:val="00F5361F"/>
    <w:rsid w:val="00F65332"/>
    <w:rsid w:val="00F7045A"/>
    <w:rsid w:val="00F706DB"/>
    <w:rsid w:val="00F75D37"/>
    <w:rsid w:val="00F803F5"/>
    <w:rsid w:val="00F872B6"/>
    <w:rsid w:val="00F9392B"/>
    <w:rsid w:val="00F93C13"/>
    <w:rsid w:val="00F95B5D"/>
    <w:rsid w:val="00FA01F3"/>
    <w:rsid w:val="00FA51B8"/>
    <w:rsid w:val="00FA6B00"/>
    <w:rsid w:val="00FB250B"/>
    <w:rsid w:val="00FB39C1"/>
    <w:rsid w:val="00FB72D8"/>
    <w:rsid w:val="00FC7E26"/>
    <w:rsid w:val="00FD5BCC"/>
    <w:rsid w:val="00FE1168"/>
    <w:rsid w:val="00FE313D"/>
    <w:rsid w:val="00FE66A3"/>
    <w:rsid w:val="04BB31FA"/>
    <w:rsid w:val="04F963FB"/>
    <w:rsid w:val="064E6EC7"/>
    <w:rsid w:val="0752156E"/>
    <w:rsid w:val="087D7F38"/>
    <w:rsid w:val="0983332C"/>
    <w:rsid w:val="0C4E1FB1"/>
    <w:rsid w:val="0E3A41D5"/>
    <w:rsid w:val="11877731"/>
    <w:rsid w:val="11A83289"/>
    <w:rsid w:val="11D81D3B"/>
    <w:rsid w:val="16197822"/>
    <w:rsid w:val="16286971"/>
    <w:rsid w:val="17870930"/>
    <w:rsid w:val="17E94CA2"/>
    <w:rsid w:val="18377BB1"/>
    <w:rsid w:val="19F23A15"/>
    <w:rsid w:val="1E5E7721"/>
    <w:rsid w:val="204F58BE"/>
    <w:rsid w:val="217023DB"/>
    <w:rsid w:val="21997739"/>
    <w:rsid w:val="248024EA"/>
    <w:rsid w:val="272778B2"/>
    <w:rsid w:val="28162BAB"/>
    <w:rsid w:val="290A2CCA"/>
    <w:rsid w:val="2A1F6251"/>
    <w:rsid w:val="2C3F38EE"/>
    <w:rsid w:val="2CA927FA"/>
    <w:rsid w:val="2D8F7C42"/>
    <w:rsid w:val="2D936CD1"/>
    <w:rsid w:val="2E630A15"/>
    <w:rsid w:val="2F2C45A3"/>
    <w:rsid w:val="31D34D2E"/>
    <w:rsid w:val="32237C4A"/>
    <w:rsid w:val="357E5199"/>
    <w:rsid w:val="36981E7B"/>
    <w:rsid w:val="37222097"/>
    <w:rsid w:val="37272C99"/>
    <w:rsid w:val="38044D88"/>
    <w:rsid w:val="38417D8A"/>
    <w:rsid w:val="3AAF07E6"/>
    <w:rsid w:val="3DE6740A"/>
    <w:rsid w:val="3F454604"/>
    <w:rsid w:val="402E00E8"/>
    <w:rsid w:val="410E1437"/>
    <w:rsid w:val="4300375D"/>
    <w:rsid w:val="46E57EA1"/>
    <w:rsid w:val="48796C8C"/>
    <w:rsid w:val="48DA7B6B"/>
    <w:rsid w:val="4B2B5C98"/>
    <w:rsid w:val="4C846F01"/>
    <w:rsid w:val="4EA70389"/>
    <w:rsid w:val="50D43E40"/>
    <w:rsid w:val="526C4BC6"/>
    <w:rsid w:val="53C51035"/>
    <w:rsid w:val="55EA236F"/>
    <w:rsid w:val="5B0A5B8C"/>
    <w:rsid w:val="5D692C30"/>
    <w:rsid w:val="5E5B1831"/>
    <w:rsid w:val="60DF1D6B"/>
    <w:rsid w:val="617C580C"/>
    <w:rsid w:val="62535753"/>
    <w:rsid w:val="63147CC6"/>
    <w:rsid w:val="63422A85"/>
    <w:rsid w:val="654523B9"/>
    <w:rsid w:val="65864EAB"/>
    <w:rsid w:val="65C77271"/>
    <w:rsid w:val="6A1C2574"/>
    <w:rsid w:val="6AB417B5"/>
    <w:rsid w:val="6BAD2A66"/>
    <w:rsid w:val="6C861C34"/>
    <w:rsid w:val="6CB06CB1"/>
    <w:rsid w:val="6EE352C5"/>
    <w:rsid w:val="6F905EF2"/>
    <w:rsid w:val="6FFF3E67"/>
    <w:rsid w:val="718A4AB3"/>
    <w:rsid w:val="71A63EA7"/>
    <w:rsid w:val="756D3991"/>
    <w:rsid w:val="76D72EF8"/>
    <w:rsid w:val="7DDA3B8E"/>
    <w:rsid w:val="7E402039"/>
    <w:rsid w:val="7F9E0B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C55C0FB"/>
  <w15:docId w15:val="{AEF88AEC-5270-495F-995A-4D3888FDA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next w:val="a0"/>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Plain Text"/>
    <w:basedOn w:val="a"/>
    <w:next w:val="a"/>
    <w:qFormat/>
    <w:rPr>
      <w:rFonts w:ascii="宋体" w:hAnsi="Courier New" w:cs="Courier New"/>
      <w:szCs w:val="21"/>
    </w:rPr>
  </w:style>
  <w:style w:type="paragraph" w:styleId="a4">
    <w:name w:val="Normal Indent"/>
    <w:basedOn w:val="a"/>
    <w:next w:val="a"/>
    <w:qFormat/>
    <w:pPr>
      <w:ind w:firstLineChars="200" w:firstLine="200"/>
    </w:pPr>
  </w:style>
  <w:style w:type="paragraph" w:styleId="a5">
    <w:name w:val="annotation text"/>
    <w:basedOn w:val="a"/>
    <w:link w:val="a6"/>
    <w:autoRedefine/>
    <w:uiPriority w:val="99"/>
    <w:semiHidden/>
    <w:unhideWhenUsed/>
    <w:qFormat/>
    <w:pPr>
      <w:jc w:val="left"/>
    </w:pPr>
  </w:style>
  <w:style w:type="paragraph" w:styleId="a7">
    <w:name w:val="Date"/>
    <w:basedOn w:val="a"/>
    <w:next w:val="a"/>
    <w:uiPriority w:val="99"/>
    <w:unhideWhenUsed/>
    <w:qFormat/>
    <w:pPr>
      <w:ind w:leftChars="2500" w:left="100"/>
    </w:pPr>
  </w:style>
  <w:style w:type="paragraph" w:styleId="2">
    <w:name w:val="Body Text Indent 2"/>
    <w:basedOn w:val="a"/>
    <w:qFormat/>
    <w:pPr>
      <w:spacing w:after="120" w:line="480" w:lineRule="auto"/>
      <w:ind w:leftChars="200" w:left="420"/>
    </w:pPr>
    <w:rPr>
      <w:szCs w:val="21"/>
    </w:rPr>
  </w:style>
  <w:style w:type="paragraph" w:styleId="a8">
    <w:name w:val="Balloon Text"/>
    <w:basedOn w:val="a"/>
    <w:link w:val="a9"/>
    <w:uiPriority w:val="99"/>
    <w:semiHidden/>
    <w:unhideWhenUsed/>
    <w:qFormat/>
    <w:rPr>
      <w:sz w:val="18"/>
      <w:szCs w:val="18"/>
    </w:rPr>
  </w:style>
  <w:style w:type="paragraph" w:styleId="aa">
    <w:name w:val="footer"/>
    <w:basedOn w:val="a"/>
    <w:link w:val="ab"/>
    <w:autoRedefine/>
    <w:uiPriority w:val="99"/>
    <w:unhideWhenUsed/>
    <w:qFormat/>
    <w:pPr>
      <w:tabs>
        <w:tab w:val="center" w:pos="4153"/>
        <w:tab w:val="right" w:pos="8306"/>
      </w:tabs>
      <w:snapToGrid w:val="0"/>
      <w:jc w:val="left"/>
    </w:pPr>
    <w:rPr>
      <w:sz w:val="18"/>
      <w:szCs w:val="18"/>
    </w:rPr>
  </w:style>
  <w:style w:type="paragraph" w:styleId="ac">
    <w:name w:val="header"/>
    <w:basedOn w:val="a"/>
    <w:link w:val="ad"/>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autoRedefine/>
    <w:uiPriority w:val="39"/>
    <w:unhideWhenUsed/>
    <w:qFormat/>
  </w:style>
  <w:style w:type="paragraph" w:styleId="TOC2">
    <w:name w:val="toc 2"/>
    <w:basedOn w:val="a"/>
    <w:next w:val="a"/>
    <w:autoRedefine/>
    <w:uiPriority w:val="39"/>
    <w:unhideWhenUsed/>
    <w:qFormat/>
    <w:pPr>
      <w:ind w:leftChars="200" w:left="420"/>
    </w:pPr>
  </w:style>
  <w:style w:type="paragraph" w:styleId="ae">
    <w:name w:val="annotation subject"/>
    <w:basedOn w:val="a5"/>
    <w:next w:val="a5"/>
    <w:link w:val="af"/>
    <w:autoRedefine/>
    <w:uiPriority w:val="99"/>
    <w:semiHidden/>
    <w:unhideWhenUsed/>
    <w:qFormat/>
    <w:rPr>
      <w:b/>
      <w:bCs/>
    </w:rPr>
  </w:style>
  <w:style w:type="character" w:styleId="af0">
    <w:name w:val="Strong"/>
    <w:uiPriority w:val="22"/>
    <w:qFormat/>
    <w:rPr>
      <w:b/>
      <w:bCs/>
    </w:rPr>
  </w:style>
  <w:style w:type="character" w:styleId="af1">
    <w:name w:val="Hyperlink"/>
    <w:basedOn w:val="a1"/>
    <w:autoRedefine/>
    <w:uiPriority w:val="99"/>
    <w:unhideWhenUsed/>
    <w:qFormat/>
    <w:rPr>
      <w:color w:val="0000FF" w:themeColor="hyperlink"/>
      <w:u w:val="single"/>
    </w:rPr>
  </w:style>
  <w:style w:type="character" w:styleId="af2">
    <w:name w:val="annotation reference"/>
    <w:basedOn w:val="a1"/>
    <w:uiPriority w:val="99"/>
    <w:semiHidden/>
    <w:unhideWhenUsed/>
    <w:qFormat/>
    <w:rPr>
      <w:sz w:val="21"/>
      <w:szCs w:val="21"/>
    </w:rPr>
  </w:style>
  <w:style w:type="character" w:customStyle="1" w:styleId="10">
    <w:name w:val="标题 1 字符"/>
    <w:basedOn w:val="a1"/>
    <w:link w:val="1"/>
    <w:uiPriority w:val="9"/>
    <w:qFormat/>
    <w:rPr>
      <w:b/>
      <w:bCs/>
      <w:kern w:val="44"/>
      <w:sz w:val="44"/>
      <w:szCs w:val="44"/>
    </w:rPr>
  </w:style>
  <w:style w:type="paragraph" w:customStyle="1" w:styleId="TOC10">
    <w:name w:val="TOC 标题1"/>
    <w:basedOn w:val="1"/>
    <w:next w:val="a"/>
    <w:uiPriority w:val="39"/>
    <w:semiHidden/>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a9">
    <w:name w:val="批注框文本 字符"/>
    <w:basedOn w:val="a1"/>
    <w:link w:val="a8"/>
    <w:uiPriority w:val="99"/>
    <w:semiHidden/>
    <w:qFormat/>
    <w:rPr>
      <w:sz w:val="18"/>
      <w:szCs w:val="18"/>
    </w:rPr>
  </w:style>
  <w:style w:type="character" w:customStyle="1" w:styleId="ad">
    <w:name w:val="页眉 字符"/>
    <w:basedOn w:val="a1"/>
    <w:link w:val="ac"/>
    <w:uiPriority w:val="99"/>
    <w:qFormat/>
    <w:rPr>
      <w:sz w:val="18"/>
      <w:szCs w:val="18"/>
    </w:rPr>
  </w:style>
  <w:style w:type="character" w:customStyle="1" w:styleId="ab">
    <w:name w:val="页脚 字符"/>
    <w:basedOn w:val="a1"/>
    <w:link w:val="aa"/>
    <w:uiPriority w:val="99"/>
    <w:qFormat/>
    <w:rPr>
      <w:sz w:val="18"/>
      <w:szCs w:val="18"/>
    </w:rPr>
  </w:style>
  <w:style w:type="paragraph" w:styleId="af3">
    <w:name w:val="List Paragraph"/>
    <w:basedOn w:val="a"/>
    <w:uiPriority w:val="34"/>
    <w:qFormat/>
    <w:pPr>
      <w:ind w:firstLineChars="200" w:firstLine="420"/>
    </w:pPr>
  </w:style>
  <w:style w:type="character" w:customStyle="1" w:styleId="a6">
    <w:name w:val="批注文字 字符"/>
    <w:basedOn w:val="a1"/>
    <w:link w:val="a5"/>
    <w:uiPriority w:val="99"/>
    <w:semiHidden/>
    <w:qFormat/>
  </w:style>
  <w:style w:type="character" w:customStyle="1" w:styleId="af">
    <w:name w:val="批注主题 字符"/>
    <w:basedOn w:val="a6"/>
    <w:link w:val="ae"/>
    <w:autoRedefine/>
    <w:uiPriority w:val="99"/>
    <w:semiHidden/>
    <w:qFormat/>
    <w:rPr>
      <w:b/>
      <w:bCs/>
    </w:rPr>
  </w:style>
  <w:style w:type="paragraph" w:styleId="af4">
    <w:name w:val="No Spacing"/>
    <w:uiPriority w:val="1"/>
    <w:qFormat/>
    <w:pPr>
      <w:widowControl w:val="0"/>
      <w:jc w:val="both"/>
    </w:pPr>
    <w:rPr>
      <w:rFonts w:asciiTheme="minorHAnsi" w:eastAsiaTheme="minorEastAsia" w:hAnsiTheme="minorHAnsi" w:cstheme="minorBidi"/>
      <w:kern w:val="2"/>
      <w:sz w:val="21"/>
      <w:szCs w:val="22"/>
    </w:rPr>
  </w:style>
  <w:style w:type="paragraph" w:customStyle="1" w:styleId="af5">
    <w:name w:val="闻政附件标题"/>
    <w:basedOn w:val="af6"/>
    <w:uiPriority w:val="6"/>
    <w:qFormat/>
    <w:pPr>
      <w:adjustRightInd w:val="0"/>
      <w:spacing w:before="120" w:after="60" w:line="240" w:lineRule="auto"/>
      <w:ind w:firstLineChars="0" w:firstLine="0"/>
      <w:outlineLvl w:val="0"/>
    </w:pPr>
    <w:rPr>
      <w:rFonts w:eastAsia="黑体"/>
      <w:b/>
      <w:sz w:val="32"/>
    </w:rPr>
  </w:style>
  <w:style w:type="paragraph" w:customStyle="1" w:styleId="af6">
    <w:name w:val="闻政正文"/>
    <w:basedOn w:val="a"/>
    <w:qFormat/>
    <w:pPr>
      <w:spacing w:line="500" w:lineRule="exact"/>
      <w:ind w:firstLineChars="200" w:firstLine="200"/>
    </w:pPr>
    <w:rPr>
      <w:rFonts w:ascii="Times New Roman" w:eastAsia="仿宋_GB2312" w:hAnsi="Times New Roman" w:cs="Times New Roman"/>
      <w:kern w:val="0"/>
      <w:sz w:val="28"/>
      <w:szCs w:val="28"/>
      <w:lang w:val="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50B3329-9898-415A-8B81-211060B462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16</Pages>
  <Words>1203</Words>
  <Characters>6859</Characters>
  <Application>Microsoft Office Word</Application>
  <DocSecurity>0</DocSecurity>
  <Lines>57</Lines>
  <Paragraphs>16</Paragraphs>
  <ScaleCrop>false</ScaleCrop>
  <Company/>
  <LinksUpToDate>false</LinksUpToDate>
  <CharactersWithSpaces>8046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win10</dc:creator>
  <cp:lastModifiedBy>Chuanqing Zhu</cp:lastModifiedBy>
  <cp:revision>18</cp:revision>
  <dcterms:created xsi:type="dcterms:W3CDTF">2025-08-23T04:09:00Z</dcterms:created>
  <dcterms:modified xsi:type="dcterms:W3CDTF">2025-08-23T04:36:00Z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29B9E6D1CA374D98B7F640F1D7AB9C68_12</vt:lpwstr>
  </property>
</Properties>
</file>